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Prompt 1 — AI-Native Enterprise Architecture</w:t>
      </w:r>
    </w:p>
    <w:p>
      <w:pPr>
        <w:pStyle w:val="FirstParagraph"/>
      </w:pPr>
      <w:r>
        <w:t xml:space="preserve">Conduct a comprehensive literature review and state-of-the-art assessment of AI-enabled enterprise architecture, model-based systems engineering (MBSE), and digital engineering. Examine DoDAF, DM2, UAF, NAF, TOGAF, FEAF, and BEA frameworks. Identify opportunities for large language models, GraphRAG, knowledge graphs, ontology-based reasoning, and agentic systems to transform enterprise architecture from static documentation into dynamic decision-support systems. Assess maturity levels, implementation challenges, and future research directions.</w:t>
      </w:r>
    </w:p>
    <w:p>
      <w:pPr>
        <w:pStyle w:val="BodyText"/>
      </w:pPr>
      <w:r>
        <w:rPr>
          <w:b/>
          <w:bCs/>
        </w:rPr>
        <w:t xml:space="preserve">Generated on:</w:t>
      </w:r>
      <w:r>
        <w:t xml:space="preserve"> </w:t>
      </w:r>
      <w:r>
        <w:t xml:space="preserve">June 07, 2026</w:t>
      </w:r>
    </w:p>
    <w:p>
      <w:r>
        <w:pict>
          <v:rect style="width:0;height:1.5pt" o:hralign="center" o:hrstd="t" o:hr="t"/>
        </w:pict>
      </w:r>
    </w:p>
    <w:p>
      <w:pPr>
        <w:pStyle w:val="FirstParagraph"/>
      </w:pPr>
      <w:r>
        <w:t xml:space="preserve">Based on my comprehensive research, I now have sufficient material to develop a complete literature review. Let me create a well-structured, fully-cited review covering all requested topics.</w:t>
      </w:r>
    </w:p>
    <w:p>
      <w:r>
        <w:pict>
          <v:rect style="width:0;height:1.5pt" o:hralign="center" o:hrstd="t" o:hr="t"/>
        </w:pict>
      </w:r>
    </w:p>
    <w:p>
      <w:pPr>
        <w:pStyle w:val="Heading1"/>
      </w:pPr>
      <w:r>
        <w:t xml:space="preserve">AI-Native Enterprise Architecture: Comprehensive Literature Review and State-of-the-Art Assessment</w:t>
      </w:r>
    </w:p>
    <w:p>
      <w:pPr>
        <w:pStyle w:val="Heading2"/>
      </w:pPr>
      <w:r>
        <w:t xml:space="preserve">1. Introduction to AI-Enabled Enterprise Architecture</w:t>
      </w:r>
    </w:p>
    <w:p>
      <w:pPr>
        <w:pStyle w:val="FirstParagraph"/>
      </w:pPr>
      <w:r>
        <w:t xml:space="preserve">The convergence of artificial intelligence, model-based systems engineering (MBSE), and digital engineering has fundamentally transformed how enterprises design, document, and govern their technology landscapes. Rather than treating architecture as static documentation, organizations are increasingly adopting AI-enhanced approaches that convert architectural artifacts into dynamic, reasoning systems capable of autonomous decision support</w:t>
      </w:r>
      <w:r>
        <w:t xml:space="preserve"> </w:t>
      </w:r>
      <w:hyperlink w:anchor="ref-fabian2025">
        <w:r>
          <w:rPr>
            <w:rStyle w:val="Hyperlink"/>
          </w:rPr>
          <w:t xml:space="preserve">[1]</w:t>
        </w:r>
      </w:hyperlink>
      <w:r>
        <w:t xml:space="preserve">,</w:t>
      </w:r>
      <w:r>
        <w:t xml:space="preserve"> </w:t>
      </w:r>
      <w:hyperlink w:anchor="ref-tomi2026">
        <w:r>
          <w:rPr>
            <w:rStyle w:val="Hyperlink"/>
          </w:rPr>
          <w:t xml:space="preserve">[2]</w:t>
        </w:r>
      </w:hyperlink>
      <w:r>
        <w:t xml:space="preserve">. Enterprise architecture, traditionally managed through manual review cycles and Architecture Review Boards, is evolving into an intelligent governance paradigm where agentic AI systems continuously analyze architecture documentation, validate design patterns, and recommend improvements in real-time</w:t>
      </w:r>
      <w:r>
        <w:t xml:space="preserve"> </w:t>
      </w:r>
      <w:hyperlink w:anchor="ref-prince2026">
        <w:r>
          <w:rPr>
            <w:rStyle w:val="Hyperlink"/>
          </w:rPr>
          <w:t xml:space="preserve">[3]</w:t>
        </w:r>
      </w:hyperlink>
      <w:r>
        <w:t xml:space="preserve">.</w:t>
      </w:r>
    </w:p>
    <w:p>
      <w:pPr>
        <w:pStyle w:val="BodyText"/>
      </w:pPr>
      <w:r>
        <w:t xml:space="preserve">This transformation addresses critical limitations of conventional enterprise architecture frameworks. Static documentation becomes obsolete quickly; enterprise knowledge remains fragmented across disconnected systems; and decision-making relies on human expertise that cannot scale across complex, distributed environments. Contemporary enterprise architecture practice increasingly demands integration of large language models (LLMs), knowledge graphs, and retrieval-augmented generation (RAG) to establish decision-support systems that ground AI reasoning in authoritative enterprise knowledge while maintaining explainability and governance accountability</w:t>
      </w:r>
      <w:r>
        <w:t xml:space="preserve"> </w:t>
      </w:r>
      <w:hyperlink w:anchor="ref-vincent2026">
        <w:r>
          <w:rPr>
            <w:rStyle w:val="Hyperlink"/>
          </w:rPr>
          <w:t xml:space="preserve">[4]</w:t>
        </w:r>
      </w:hyperlink>
      <w:r>
        <w:t xml:space="preserve">,</w:t>
      </w:r>
      <w:r>
        <w:t xml:space="preserve"> </w:t>
      </w:r>
      <w:hyperlink w:anchor="ref-xiangxi2026">
        <w:r>
          <w:rPr>
            <w:rStyle w:val="Hyperlink"/>
          </w:rPr>
          <w:t xml:space="preserve">[5]</w:t>
        </w:r>
      </w:hyperlink>
      <w:r>
        <w:t xml:space="preserve">.</w:t>
      </w:r>
    </w:p>
    <w:p>
      <w:pPr>
        <w:pStyle w:val="Heading2"/>
      </w:pPr>
      <w:r>
        <w:t xml:space="preserve">2. Foundational Enterprise Architecture Frameworks and Their Evolution</w:t>
      </w:r>
    </w:p>
    <w:p>
      <w:pPr>
        <w:pStyle w:val="Heading3"/>
      </w:pPr>
      <w:r>
        <w:t xml:space="preserve">2.1 DoDAF, DM2, UAF, NAF, and Traditional Framework Approaches</w:t>
      </w:r>
    </w:p>
    <w:p>
      <w:pPr>
        <w:pStyle w:val="FirstParagraph"/>
      </w:pPr>
      <w:r>
        <w:t xml:space="preserve">The U.S. Department of Defense Architecture Framework (DoDAF), Data Management 2.0 (DM2), Unified Architecture Framework (UAF), and NATO Architecture Framework (NAF) represent institutionalized approaches to systems architecture specification. These frameworks define viewpoint structures, modeling languages (including SysML), and traceability mechanisms for complex systems-of-systems</w:t>
      </w:r>
      <w:r>
        <w:t xml:space="preserve"> </w:t>
      </w:r>
      <w:hyperlink w:anchor="ref-rehobot2026">
        <w:r>
          <w:rPr>
            <w:rStyle w:val="Hyperlink"/>
          </w:rPr>
          <w:t xml:space="preserve">[6]</w:t>
        </w:r>
      </w:hyperlink>
      <w:r>
        <w:t xml:space="preserve">. While valuable for defining architectural concerns and establishing communication standards, these frameworks have historically emphasized documentation completeness over operational decision support. Traditional MBSE approaches utilizing these frameworks focus on requirements traceability, architecture decomposition, and verification rather than continuous intelligence extraction.</w:t>
      </w:r>
    </w:p>
    <w:p>
      <w:pPr>
        <w:pStyle w:val="Heading3"/>
      </w:pPr>
      <w:r>
        <w:t xml:space="preserve">2.2 TOGAF, FEAF, and Business Enterprise Architecture</w:t>
      </w:r>
    </w:p>
    <w:p>
      <w:pPr>
        <w:pStyle w:val="FirstParagraph"/>
      </w:pPr>
      <w:r>
        <w:t xml:space="preserve">The Open Group Architecture Framework (TOGAF) and Federal Enterprise Architecture Framework (FEAF) represent the commercial and government adaptation of architecture methodology. TOGAF's Architecture Development Method (ADM) provides structured governance processes for enterprise transformation, while FEAF establishes reference models for federal IT modernization</w:t>
      </w:r>
      <w:r>
        <w:t xml:space="preserve"> </w:t>
      </w:r>
      <w:hyperlink w:anchor="ref-a2025">
        <w:r>
          <w:rPr>
            <w:rStyle w:val="Hyperlink"/>
          </w:rPr>
          <w:t xml:space="preserve">[7]</w:t>
        </w:r>
      </w:hyperlink>
      <w:r>
        <w:t xml:space="preserve">. However, both frameworks encounter implementation friction when confronted with rapidly evolving business requirements, cloud-native architectures, and the need for continuous adaptation. Recent research demonstrates that organizations coupling TOGAF with mature AI assessment approaches achieve significantly higher correlation between enterprise architecture maturity and successful AI adoption at scale</w:t>
      </w:r>
      <w:r>
        <w:t xml:space="preserve"> </w:t>
      </w:r>
      <w:hyperlink w:anchor="ref-a2025">
        <w:r>
          <w:rPr>
            <w:rStyle w:val="Hyperlink"/>
          </w:rPr>
          <w:t xml:space="preserve">[7]</w:t>
        </w:r>
      </w:hyperlink>
      <w:r>
        <w:t xml:space="preserve">.</w:t>
      </w:r>
    </w:p>
    <w:p>
      <w:pPr>
        <w:pStyle w:val="Heading3"/>
      </w:pPr>
      <w:r>
        <w:t xml:space="preserve">2.3 Emerging Framework Integration: SEREA and Reference Architecture Approaches</w:t>
      </w:r>
    </w:p>
    <w:p>
      <w:pPr>
        <w:pStyle w:val="FirstParagraph"/>
      </w:pPr>
      <w:r>
        <w:t xml:space="preserve">Systems Engineering Reference Enterprise Architecture (SEREA), designated as an INCOSE technical product and based on the Unified Architecture Framework (UAF), represents an evolution toward model-based enterprise architecture</w:t>
      </w:r>
      <w:r>
        <w:t xml:space="preserve"> </w:t>
      </w:r>
      <w:hyperlink w:anchor="ref-hugo2025">
        <w:r>
          <w:rPr>
            <w:rStyle w:val="Hyperlink"/>
          </w:rPr>
          <w:t xml:space="preserve">[8]</w:t>
        </w:r>
      </w:hyperlink>
      <w:r>
        <w:t xml:space="preserve">. SEREA enables organizations to create customized enterprise architectures grounded in ISO/IEC/IEEE 15288 lifecycle management principles. This represents a critical shift: rather than treating enterprise architecture as a separate discipline, SEREA integrates systems engineering practices with architectural governance, creating coherence between technical system development and enterprise-wide strategy.</w:t>
      </w:r>
    </w:p>
    <w:p>
      <w:pPr>
        <w:pStyle w:val="BodyText"/>
      </w:pPr>
      <w:r>
        <w:t xml:space="preserve">The transition from framework maturity to operational maturity reveals a fundamental challenge: traditional frameworks excel at specifying</w:t>
      </w:r>
      <w:r>
        <w:t xml:space="preserve"> </w:t>
      </w:r>
      <w:r>
        <w:rPr>
          <w:i/>
          <w:iCs/>
        </w:rPr>
        <w:t xml:space="preserve">what</w:t>
      </w:r>
      <w:r>
        <w:t xml:space="preserve"> </w:t>
      </w:r>
      <w:r>
        <w:t xml:space="preserve">to document, but provide limited guidance on</w:t>
      </w:r>
      <w:r>
        <w:t xml:space="preserve"> </w:t>
      </w:r>
      <w:r>
        <w:rPr>
          <w:i/>
          <w:iCs/>
        </w:rPr>
        <w:t xml:space="preserve">how</w:t>
      </w:r>
      <w:r>
        <w:t xml:space="preserve"> </w:t>
      </w:r>
      <w:r>
        <w:t xml:space="preserve">to reason over architectural artifacts for decision support. This gap is precisely where AI-augmented systems engineering approaches create transformative value.</w:t>
      </w:r>
    </w:p>
    <w:p>
      <w:pPr>
        <w:pStyle w:val="Heading2"/>
      </w:pPr>
      <w:r>
        <w:t xml:space="preserve">3. Model-Based Systems Engineering (MBSE) and Digital Engineering Renaissance</w:t>
      </w:r>
    </w:p>
    <w:p>
      <w:pPr>
        <w:pStyle w:val="Heading3"/>
      </w:pPr>
      <w:r>
        <w:t xml:space="preserve">3.1 MBSE Enablement through AI Integration</w:t>
      </w:r>
    </w:p>
    <w:p>
      <w:pPr>
        <w:pStyle w:val="FirstParagraph"/>
      </w:pPr>
      <w:r>
        <w:t xml:space="preserve">MBSE has emerged as the de facto standard for managing system complexity through formalized modeling practices</w:t>
      </w:r>
      <w:r>
        <w:t xml:space="preserve"> </w:t>
      </w:r>
      <w:hyperlink w:anchor="ref-zvonimir2025">
        <w:r>
          <w:rPr>
            <w:rStyle w:val="Hyperlink"/>
          </w:rPr>
          <w:t xml:space="preserve">[9]</w:t>
        </w:r>
      </w:hyperlink>
      <w:r>
        <w:t xml:space="preserve">. Rather than text-based documents, MBSE employs structured, executable system models (typically in SysML) that capture functional, logical, and physical architectures with explicit traceability from requirements through implementation. However, traditional MBSE implementations face significant usability barriers and adoption challenges</w:t>
      </w:r>
      <w:r>
        <w:t xml:space="preserve"> </w:t>
      </w:r>
      <w:hyperlink w:anchor="ref-fabian2025">
        <w:r>
          <w:rPr>
            <w:rStyle w:val="Hyperlink"/>
          </w:rPr>
          <w:t xml:space="preserve">[1]</w:t>
        </w:r>
      </w:hyperlink>
      <w:r>
        <w:t xml:space="preserve">. Organizations report that MBSE tools present steep learning curves, create data accessibility issues for non-technical stakeholders, and struggle with integration across heterogeneous modeling environments.</w:t>
      </w:r>
    </w:p>
    <w:p>
      <w:pPr>
        <w:pStyle w:val="BodyText"/>
      </w:pPr>
      <w:r>
        <w:t xml:space="preserve">AI integration is fundamentally changing MBSE practice. Recent frameworks employ large language models integrated with retrieval-augmented generation to transform MBSE workflows</w:t>
      </w:r>
      <w:r>
        <w:t xml:space="preserve"> </w:t>
      </w:r>
      <w:hyperlink w:anchor="ref-tomi2026">
        <w:r>
          <w:rPr>
            <w:rStyle w:val="Hyperlink"/>
          </w:rPr>
          <w:t xml:space="preserve">[2]</w:t>
        </w:r>
      </w:hyperlink>
      <w:r>
        <w:t xml:space="preserve">. By combining natural language processing with MBSE model APIs, these systems enable engineers to create, query, and analyze system models through conversational interfaces rather than specialized modeling languages. A proof-of-concept demonstration achieved 93% accuracy in answering complex system architecture questions using a GraphRAG-enhanced approach to MBSE model retrieval</w:t>
      </w:r>
      <w:r>
        <w:t xml:space="preserve"> </w:t>
      </w:r>
      <w:hyperlink w:anchor="ref-vincent2026">
        <w:r>
          <w:rPr>
            <w:rStyle w:val="Hyperlink"/>
          </w:rPr>
          <w:t xml:space="preserve">[4]</w:t>
        </w:r>
      </w:hyperlink>
      <w:r>
        <w:t xml:space="preserve">.</w:t>
      </w:r>
    </w:p>
    <w:p>
      <w:pPr>
        <w:pStyle w:val="Heading3"/>
      </w:pPr>
      <w:r>
        <w:t xml:space="preserve">3.2 Circular and Cognitive Digital Threads in MBSE</w:t>
      </w:r>
    </w:p>
    <w:p>
      <w:pPr>
        <w:pStyle w:val="FirstParagraph"/>
      </w:pPr>
      <w:r>
        <w:t xml:space="preserve">The concept of the</w:t>
      </w:r>
      <w:r>
        <w:t xml:space="preserve"> </w:t>
      </w:r>
      <w:r>
        <w:rPr>
          <w:i/>
          <w:iCs/>
        </w:rPr>
        <w:t xml:space="preserve">digital thread</w:t>
      </w:r>
      <w:r>
        <w:t xml:space="preserve"> </w:t>
      </w:r>
      <w:r>
        <w:t xml:space="preserve">represents a critical evolution in MBSE maturity. Rather than discrete models, the digital thread establishes continuous, bidirectional linkage between requirements, design decisions, implementation artifacts, operational telemetry, and performance outcomes</w:t>
      </w:r>
      <w:r>
        <w:t xml:space="preserve"> </w:t>
      </w:r>
      <w:hyperlink w:anchor="ref-jiaxing2026">
        <w:r>
          <w:rPr>
            <w:rStyle w:val="Hyperlink"/>
          </w:rPr>
          <w:t xml:space="preserve">[10]</w:t>
        </w:r>
      </w:hyperlink>
      <w:r>
        <w:t xml:space="preserve">. Cognitive digital threads extend this concept by embedding semantic reasoning capabilities that maintain consistency across fragmented engineering knowledge.</w:t>
      </w:r>
    </w:p>
    <w:p>
      <w:pPr>
        <w:pStyle w:val="BodyText"/>
      </w:pPr>
      <w:r>
        <w:t xml:space="preserve">The Cognitive Digital Thread framework addresses a persistent MBSE challenge: legacy organizations possess decades of engineering documentation in diverse formats (CAD files, text documents, spreadsheets, databases) that contain valuable design knowledge but remain isolated from formal MBSE models. By applying rule-based extraction and dynamic model updates, organizations can establish MBSE practice incrementally while preserving organizational knowledge assets</w:t>
      </w:r>
      <w:r>
        <w:t xml:space="preserve"> </w:t>
      </w:r>
      <w:hyperlink w:anchor="ref-jiaxing2026">
        <w:r>
          <w:rPr>
            <w:rStyle w:val="Hyperlink"/>
          </w:rPr>
          <w:t xml:space="preserve">[10]</w:t>
        </w:r>
      </w:hyperlink>
      <w:r>
        <w:t xml:space="preserve">. This approach proves particularly valuable for manufacturing systems undergoing digital transformation, where complete model rebuild is economically unfeasible.</w:t>
      </w:r>
    </w:p>
    <w:p>
      <w:pPr>
        <w:pStyle w:val="Heading3"/>
      </w:pPr>
      <w:r>
        <w:t xml:space="preserve">3.3 AI-Driven MBSE Maturity and Competency Development</w:t>
      </w:r>
    </w:p>
    <w:p>
      <w:pPr>
        <w:pStyle w:val="FirstParagraph"/>
      </w:pPr>
      <w:r>
        <w:t xml:space="preserve">Organizations deploying AI-augmented MBSE experience measurable improvements in engineering efficiency and model quality. The integration of LLM-based assistance systems into MBSE tools reduces time spent on routine model creation tasks while enabling engineers to focus on higher-value architectural reasoning</w:t>
      </w:r>
      <w:r>
        <w:t xml:space="preserve"> </w:t>
      </w:r>
      <w:hyperlink w:anchor="ref-b2024">
        <w:r>
          <w:rPr>
            <w:rStyle w:val="Hyperlink"/>
          </w:rPr>
          <w:t xml:space="preserve">[11]</w:t>
        </w:r>
      </w:hyperlink>
      <w:r>
        <w:t xml:space="preserve">. However, practitioners identify persistent challenges: AI-generated models frequently exhibit redundancy, lack cohesiveness, and require significant manual refinement</w:t>
      </w:r>
      <w:r>
        <w:t xml:space="preserve"> </w:t>
      </w:r>
      <w:hyperlink w:anchor="ref-b2024">
        <w:r>
          <w:rPr>
            <w:rStyle w:val="Hyperlink"/>
          </w:rPr>
          <w:t xml:space="preserve">[11]</w:t>
        </w:r>
      </w:hyperlink>
      <w:r>
        <w:t xml:space="preserve">.</w:t>
      </w:r>
    </w:p>
    <w:p>
      <w:pPr>
        <w:pStyle w:val="BodyText"/>
      </w:pPr>
      <w:r>
        <w:t xml:space="preserve">A structured competency framework for AI-augmented MBSE has emerged, identifying core technical skills, domain expertise requirements, and soft skills necessary for effective adoption</w:t>
      </w:r>
      <w:r>
        <w:t xml:space="preserve"> </w:t>
      </w:r>
      <w:hyperlink w:anchor="ref-aditya2025">
        <w:r>
          <w:rPr>
            <w:rStyle w:val="Hyperlink"/>
          </w:rPr>
          <w:t xml:space="preserve">[12]</w:t>
        </w:r>
      </w:hyperlink>
      <w:r>
        <w:t xml:space="preserve">. The framework reveals sector-specific competency variations: aerospace and defense organizations emphasize safety and traceability analysis, manufacturing sectors prioritize cost optimization and production integration, while software and IT organizations focus on microservices architecture and cloud-native deployment patterns.</w:t>
      </w:r>
    </w:p>
    <w:p>
      <w:pPr>
        <w:pStyle w:val="Heading2"/>
      </w:pPr>
      <w:r>
        <w:t xml:space="preserve">4. GraphRAG, Knowledge Graphs, and Intelligent Information Retrieval</w:t>
      </w:r>
    </w:p>
    <w:p>
      <w:pPr>
        <w:pStyle w:val="Heading3"/>
      </w:pPr>
      <w:r>
        <w:t xml:space="preserve">4.1 Graph-Based Retrieval-Augmented Generation Foundations</w:t>
      </w:r>
    </w:p>
    <w:p>
      <w:pPr>
        <w:pStyle w:val="FirstParagraph"/>
      </w:pPr>
      <w:r>
        <w:t xml:space="preserve">Traditional Retrieval-Augmented Generation (RAG) systems rely on flat-text retrieval mechanisms that struggle with complex enterprise knowledge characterized by intricate entity relationships, hierarchical dependencies, and domain-specific terminology. Graph-based RAG (GraphRAG) addresses these limitations by leveraging structured knowledge representations where entities and their relationships are explicitly modeled</w:t>
      </w:r>
      <w:r>
        <w:t xml:space="preserve"> </w:t>
      </w:r>
      <w:hyperlink w:anchor="ref-qinggang2025">
        <w:r>
          <w:rPr>
            <w:rStyle w:val="Hyperlink"/>
          </w:rPr>
          <w:t xml:space="preserve">[13]</w:t>
        </w:r>
      </w:hyperlink>
      <w:r>
        <w:t xml:space="preserve">,</w:t>
      </w:r>
      <w:r>
        <w:t xml:space="preserve"> </w:t>
      </w:r>
      <w:hyperlink w:anchor="ref-boci2024">
        <w:r>
          <w:rPr>
            <w:rStyle w:val="Hyperlink"/>
          </w:rPr>
          <w:t xml:space="preserve">[14]</w:t>
        </w:r>
      </w:hyperlink>
      <w:r>
        <w:t xml:space="preserve">.</w:t>
      </w:r>
    </w:p>
    <w:p>
      <w:pPr>
        <w:pStyle w:val="BodyText"/>
      </w:pPr>
      <w:r>
        <w:t xml:space="preserve">GraphRAG fundamentally transforms how enterprise systems access knowledge by introducing three architectural innovations</w:t>
      </w:r>
      <w:r>
        <w:t xml:space="preserve"> </w:t>
      </w:r>
      <w:hyperlink w:anchor="ref-qinggang2025">
        <w:r>
          <w:rPr>
            <w:rStyle w:val="Hyperlink"/>
          </w:rPr>
          <w:t xml:space="preserve">[13]</w:t>
        </w:r>
      </w:hyperlink>
      <w:r>
        <w:t xml:space="preserve">:</w:t>
      </w:r>
    </w:p>
    <w:p>
      <w:pPr>
        <w:numPr>
          <w:ilvl w:val="0"/>
          <w:numId w:val="1001"/>
        </w:numPr>
      </w:pPr>
      <w:r>
        <w:rPr>
          <w:b/>
          <w:bCs/>
        </w:rPr>
        <w:t xml:space="preserve">Graph-Structured Knowledge Representation</w:t>
      </w:r>
      <w:r>
        <w:t xml:space="preserve">: Entities, relationships, and domain hierarchies are explicitly captured, enabling multi-hop reasoning and relationship traversal unavailable in vector-only retrieval.</w:t>
      </w:r>
    </w:p>
    <w:p>
      <w:pPr>
        <w:numPr>
          <w:ilvl w:val="0"/>
          <w:numId w:val="1001"/>
        </w:numPr>
      </w:pPr>
      <w:r>
        <w:rPr>
          <w:b/>
          <w:bCs/>
        </w:rPr>
        <w:t xml:space="preserve">Efficient Graph-Based Retrieval</w:t>
      </w:r>
      <w:r>
        <w:t xml:space="preserve">: Query-aware graph traversal identifies relevant subgraphs containing entities, relationships, and contextual information necessary for informed reasoning.</w:t>
      </w:r>
    </w:p>
    <w:p>
      <w:pPr>
        <w:numPr>
          <w:ilvl w:val="0"/>
          <w:numId w:val="1001"/>
        </w:numPr>
      </w:pPr>
      <w:r>
        <w:rPr>
          <w:b/>
          <w:bCs/>
        </w:rPr>
        <w:t xml:space="preserve">Structure-Aware Knowledge Integration</w:t>
      </w:r>
      <w:r>
        <w:t xml:space="preserve">: Retrieved graph structures are converted into natural language prompts that guide LLM reasoning while preserving logical coherence across multi-step inference.</w:t>
      </w:r>
    </w:p>
    <w:p>
      <w:pPr>
        <w:pStyle w:val="FirstParagraph"/>
      </w:pPr>
      <w:r>
        <w:t xml:space="preserve">Empirical evaluation demonstrates that GraphRAG significantly outperforms traditional RAG across diverse application domains. On multi-hop reasoning tasks (HotpotQA, MuSiQue), GraphRAG systems achieve F1 scores exceeding 0.59 compared to 0.40-0.45 for vector-only approaches</w:t>
      </w:r>
      <w:r>
        <w:t xml:space="preserve"> </w:t>
      </w:r>
      <w:hyperlink w:anchor="ref-shengyuan2025">
        <w:r>
          <w:rPr>
            <w:rStyle w:val="Hyperlink"/>
          </w:rPr>
          <w:t xml:space="preserve">[15]</w:t>
        </w:r>
      </w:hyperlink>
      <w:r>
        <w:t xml:space="preserve">. The improvement stems from GraphRAG's ability to capture reasoning paths across multiple information sources, reducing the information dilution inherent in flat-text retrieval.</w:t>
      </w:r>
    </w:p>
    <w:p>
      <w:pPr>
        <w:pStyle w:val="Heading3"/>
      </w:pPr>
      <w:r>
        <w:t xml:space="preserve">4.2 Knowledge Graph Construction and Maintenance at Enterprise Scale</w:t>
      </w:r>
    </w:p>
    <w:p>
      <w:pPr>
        <w:pStyle w:val="FirstParagraph"/>
      </w:pPr>
      <w:r>
        <w:t xml:space="preserve">Constructing authoritative enterprise knowledge graphs represents a critical implementation challenge. Traditional approaches rely on manual ontology engineering or rule-based relation extraction, both approaches suffering from scalability limitations and knowledge decay as enterprise information evolves</w:t>
      </w:r>
      <w:r>
        <w:t xml:space="preserve"> </w:t>
      </w:r>
      <w:hyperlink w:anchor="ref-a2025a">
        <w:r>
          <w:rPr>
            <w:rStyle w:val="Hyperlink"/>
          </w:rPr>
          <w:t xml:space="preserve">[16]</w:t>
        </w:r>
      </w:hyperlink>
      <w:r>
        <w:t xml:space="preserve">.</w:t>
      </w:r>
    </w:p>
    <w:p>
      <w:pPr>
        <w:pStyle w:val="BodyText"/>
      </w:pPr>
      <w:r>
        <w:t xml:space="preserve">Recent methodologies employ LLMs to automate knowledge graph construction from unstructured enterprise documents. The RAKG framework demonstrates how retrieval-augmented approaches can guide LLM-based entity and relation extraction, achieving 95.91% accuracy on medical ontology mapping—a 6.2 percentage point improvement over traditional GraphRAG approaches</w:t>
      </w:r>
      <w:r>
        <w:t xml:space="preserve"> </w:t>
      </w:r>
      <w:hyperlink w:anchor="ref-hairong2025">
        <w:r>
          <w:rPr>
            <w:rStyle w:val="Hyperlink"/>
          </w:rPr>
          <w:t xml:space="preserve">[17]</w:t>
        </w:r>
      </w:hyperlink>
      <w:r>
        <w:t xml:space="preserve">. The key innovation involves using pre-extracted entities as RAG queries, enabling LLMs to maintain global context despite token limitations.</w:t>
      </w:r>
    </w:p>
    <w:p>
      <w:pPr>
        <w:pStyle w:val="BodyText"/>
      </w:pPr>
      <w:r>
        <w:t xml:space="preserve">Enterprise organizations face practical challenges in knowledge graph evolution. LinearRAG proposes a novel approach avoiding costly relation extraction by constructing lightweight hierarchical graphs using only entity extraction and semantic linking, achieving linear scalability with corpus size while reducing token consumption by 85% compared to relation-intensive approaches</w:t>
      </w:r>
      <w:r>
        <w:t xml:space="preserve"> </w:t>
      </w:r>
      <w:hyperlink w:anchor="ref-luyao2025">
        <w:r>
          <w:rPr>
            <w:rStyle w:val="Hyperlink"/>
          </w:rPr>
          <w:t xml:space="preserve">[18]</w:t>
        </w:r>
      </w:hyperlink>
      <w:r>
        <w:t xml:space="preserve">.</w:t>
      </w:r>
    </w:p>
    <w:p>
      <w:pPr>
        <w:pStyle w:val="Heading3"/>
      </w:pPr>
      <w:r>
        <w:t xml:space="preserve">4.3 Semantic Grounding and Hallucination Mitigation</w:t>
      </w:r>
    </w:p>
    <w:p>
      <w:pPr>
        <w:pStyle w:val="FirstParagraph"/>
      </w:pPr>
      <w:r>
        <w:t xml:space="preserve">A critical limitation of LLM-based systems is hallucination—generating plausible-sounding but factually incorrect responses. GraphRAG systems significantly reduce hallucination rates by grounding LLM outputs in retrieved knowledge graph structures</w:t>
      </w:r>
      <w:r>
        <w:t xml:space="preserve"> </w:t>
      </w:r>
      <w:hyperlink w:anchor="ref-boci2024">
        <w:r>
          <w:rPr>
            <w:rStyle w:val="Hyperlink"/>
          </w:rPr>
          <w:t xml:space="preserve">[14]</w:t>
        </w:r>
      </w:hyperlink>
      <w:r>
        <w:t xml:space="preserve">. However, hallucination remains partially irreducible: even with knowledge graph constraints, LLMs occasionally generate responses inconsistent with retrieved evidence.</w:t>
      </w:r>
    </w:p>
    <w:p>
      <w:pPr>
        <w:pStyle w:val="BodyText"/>
      </w:pPr>
      <w:r>
        <w:t xml:space="preserve">Recent research develops mechanistic approaches to hallucination detection in GraphRAG systems. By analyzing attention patterns and semantic alignment between model representations and retrieved knowledge, detection systems achieve 90%+ AUC for identifying hallucinated outputs</w:t>
      </w:r>
      <w:r>
        <w:t xml:space="preserve"> </w:t>
      </w:r>
      <w:hyperlink w:anchor="ref-shanghao2025">
        <w:r>
          <w:rPr>
            <w:rStyle w:val="Hyperlink"/>
          </w:rPr>
          <w:t xml:space="preserve">[19]</w:t>
        </w:r>
      </w:hyperlink>
      <w:r>
        <w:t xml:space="preserve">. This enables practical guardrails: flagging low-confidence outputs for human review, triggering evidence regeneration, or escalating to specialized reasoning models.</w:t>
      </w:r>
    </w:p>
    <w:p>
      <w:pPr>
        <w:pStyle w:val="BodyText"/>
      </w:pPr>
      <w:r>
        <w:t xml:space="preserve">Ontology-enhanced approaches strengthen hallucination mitigation by integrating domain-specific constraints directly into retrieval and generation processes. Medical knowledge graphs augmented with SNOMED CT and ICD-11 constraints demonstrate improved factual accuracy when generating diagnostic recommendations</w:t>
      </w:r>
      <w:r>
        <w:t xml:space="preserve"> </w:t>
      </w:r>
      <w:hyperlink w:anchor="ref-hui2025">
        <w:r>
          <w:rPr>
            <w:rStyle w:val="Hyperlink"/>
          </w:rPr>
          <w:t xml:space="preserve">[20]</w:t>
        </w:r>
      </w:hyperlink>
      <w:r>
        <w:t xml:space="preserve">. This approach treats ontologies as active governance mechanisms rather than passive reference structures.</w:t>
      </w:r>
    </w:p>
    <w:p>
      <w:pPr>
        <w:pStyle w:val="Heading2"/>
      </w:pPr>
      <w:r>
        <w:t xml:space="preserve">5. Large Language Models, Ontology-Based Reasoning, and Enterprise Knowledge Management</w:t>
      </w:r>
    </w:p>
    <w:p>
      <w:pPr>
        <w:pStyle w:val="Heading3"/>
      </w:pPr>
      <w:r>
        <w:t xml:space="preserve">5.1 LLM Integration for Enterprise Architecture Analysis and Governance</w:t>
      </w:r>
    </w:p>
    <w:p>
      <w:pPr>
        <w:pStyle w:val="FirstParagraph"/>
      </w:pPr>
      <w:r>
        <w:t xml:space="preserve">LLMs have demonstrated remarkable capabilities in understanding natural language descriptions of architectural artifacts, identifying architectural patterns, and recommending design improvements. When grounded with enterprise-specific knowledge bases and architectural standards, LLMs function as intelligent advisors capable of continuous architecture governance</w:t>
      </w:r>
      <w:r>
        <w:t xml:space="preserve"> </w:t>
      </w:r>
      <w:hyperlink w:anchor="ref-prince2026">
        <w:r>
          <w:rPr>
            <w:rStyle w:val="Hyperlink"/>
          </w:rPr>
          <w:t xml:space="preserve">[3]</w:t>
        </w:r>
      </w:hyperlink>
      <w:r>
        <w:t xml:space="preserve">.</w:t>
      </w:r>
    </w:p>
    <w:p>
      <w:pPr>
        <w:pStyle w:val="BodyText"/>
      </w:pPr>
      <w:r>
        <w:t xml:space="preserve">An emerging architectural paradigm treats enterprise architects as</w:t>
      </w:r>
      <w:r>
        <w:t xml:space="preserve"> </w:t>
      </w:r>
      <w:r>
        <w:rPr>
          <w:i/>
          <w:iCs/>
        </w:rPr>
        <w:t xml:space="preserve">orchestrators of AI reasoning</w:t>
      </w:r>
      <w:r>
        <w:t xml:space="preserve"> </w:t>
      </w:r>
      <w:r>
        <w:t xml:space="preserve">rather than sole decision-makers. Agentic AI frameworks enable autonomous architecture review processes where AI agents continuously analyze design proposals against enterprise standards, security policies, and compliance requirements, flagging violations and recommending remediation pathways</w:t>
      </w:r>
      <w:r>
        <w:t xml:space="preserve"> </w:t>
      </w:r>
      <w:hyperlink w:anchor="ref-prince2026">
        <w:r>
          <w:rPr>
            <w:rStyle w:val="Hyperlink"/>
          </w:rPr>
          <w:t xml:space="preserve">[3]</w:t>
        </w:r>
      </w:hyperlink>
      <w:r>
        <w:t xml:space="preserve">. This represents a qualitative shift from periodic review cycles (typically quarterly or semi-annual) to continuous, near-real-time governance.</w:t>
      </w:r>
    </w:p>
    <w:p>
      <w:pPr>
        <w:pStyle w:val="Heading3"/>
      </w:pPr>
      <w:r>
        <w:t xml:space="preserve">5.2 Ontology-Driven Semantic Integration for Enterprise Interoperability</w:t>
      </w:r>
    </w:p>
    <w:p>
      <w:pPr>
        <w:pStyle w:val="FirstParagraph"/>
      </w:pPr>
      <w:r>
        <w:t xml:space="preserve">Semantic heterogeneity remains a persistent challenge in enterprise architecture: different business units, geographic regions, and technology platforms employ divergent terminology, data models, and process definitions. Traditional integration approaches rely on brittle mappings that require manual maintenance as systems evolve.</w:t>
      </w:r>
    </w:p>
    <w:p>
      <w:pPr>
        <w:pStyle w:val="BodyText"/>
      </w:pPr>
      <w:r>
        <w:t xml:space="preserve">Generative AI-enhanced semantic integration architectures leverage LLMs and enterprise knowledge graphs to establish context-aware interoperability</w:t>
      </w:r>
      <w:r>
        <w:t xml:space="preserve"> </w:t>
      </w:r>
      <w:hyperlink w:anchor="ref-umamaheswarareddy2026">
        <w:r>
          <w:rPr>
            <w:rStyle w:val="Hyperlink"/>
          </w:rPr>
          <w:t xml:space="preserve">[21]</w:t>
        </w:r>
      </w:hyperlink>
      <w:r>
        <w:t xml:space="preserve">. Rather than static mappings, these systems employ continuous learning: as new semantic misalignments are detected, LLM-based reasoners generate explanations, propose mapping refinements, and update knowledge graphs to reflect evolving enterprise semantics. A production implementation across hybrid SAP landscapes demonstrated 73% reduction in semantic mapping errors compared to manually maintained mapping approaches</w:t>
      </w:r>
      <w:r>
        <w:t xml:space="preserve"> </w:t>
      </w:r>
      <w:hyperlink w:anchor="ref-umamaheswarareddy2026">
        <w:r>
          <w:rPr>
            <w:rStyle w:val="Hyperlink"/>
          </w:rPr>
          <w:t xml:space="preserve">[21]</w:t>
        </w:r>
      </w:hyperlink>
      <w:r>
        <w:t xml:space="preserve">.</w:t>
      </w:r>
    </w:p>
    <w:p>
      <w:pPr>
        <w:pStyle w:val="BodyText"/>
      </w:pPr>
      <w:r>
        <w:t xml:space="preserve">Building Trusted and Intelligent Enterprise Stewardship Systems represents the frontier of semantic integration governance. By combining explainable LLMs with autonomous governance automation and semantic workflow intelligence, organizations establish master data management architectures that adapt to changing business requirements while maintaining regulatory compliance</w:t>
      </w:r>
      <w:r>
        <w:t xml:space="preserve"> </w:t>
      </w:r>
      <w:hyperlink w:anchor="ref-nagender2026">
        <w:r>
          <w:rPr>
            <w:rStyle w:val="Hyperlink"/>
          </w:rPr>
          <w:t xml:space="preserve">[22]</w:t>
        </w:r>
      </w:hyperlink>
      <w:r>
        <w:t xml:space="preserve">. These cognitive Master Data Management systems employ semantic reasoning to enforce data quality rules, reconcile conflicts across data sources, and automatically generate compliance evidence for regulatory audits.</w:t>
      </w:r>
    </w:p>
    <w:p>
      <w:pPr>
        <w:pStyle w:val="Heading3"/>
      </w:pPr>
      <w:r>
        <w:t xml:space="preserve">5.3 Context-Aware Retrieval and Multi-Hop Reasoning</w:t>
      </w:r>
    </w:p>
    <w:p>
      <w:pPr>
        <w:pStyle w:val="FirstParagraph"/>
      </w:pPr>
      <w:r>
        <w:t xml:space="preserve">Enterprise decisions frequently require synthesis of information distributed across multiple systems, domains, and time horizons. Traditional systems struggle with multi-hop reasoning: connecting entity chains across multiple steps to trace causal relationships or identify systemic risks. GraphRAG systems specifically address this challenge by enabling explicit reasoning over graph structures.</w:t>
      </w:r>
    </w:p>
    <w:p>
      <w:pPr>
        <w:pStyle w:val="BodyText"/>
      </w:pPr>
      <w:r>
        <w:t xml:space="preserve">Retrieval strategies for enterprise systems have evolved from simple similarity matching toward sophisticated context-aware approaches. TagRAG introduces tag-guided hierarchical knowledge graph retrieval, organizing domain knowledge into hierarchical tag chains that localize and synthesize relevant information</w:t>
      </w:r>
      <w:r>
        <w:t xml:space="preserve"> </w:t>
      </w:r>
      <w:hyperlink w:anchor="ref-wenbiao2025">
        <w:r>
          <w:rPr>
            <w:rStyle w:val="Hyperlink"/>
          </w:rPr>
          <w:t xml:space="preserve">[23]</w:t>
        </w:r>
      </w:hyperlink>
      <w:r>
        <w:t xml:space="preserve">. Evaluation on agricultural, computer science, and legal domains demonstrates 78.36% winning rate against traditional GraphRAG approaches while reducing storage requirements by 14.6x and retrieval time by 1.9x.</w:t>
      </w:r>
    </w:p>
    <w:p>
      <w:pPr>
        <w:pStyle w:val="BodyText"/>
      </w:pPr>
      <w:r>
        <w:t xml:space="preserve">Process-constrained reinforcement learning offers an emerging frontier for adaptive GraphRAG systems. GraphRAG-R1 trains LLMs using reward signals that encourage essential retrievals while penalizing excessive over-thinking, achieving state-of-the-art performance on multi-hop reasoning tasks while reducing computational costs by 30%</w:t>
      </w:r>
      <w:r>
        <w:t xml:space="preserve"> </w:t>
      </w:r>
      <w:hyperlink w:anchor="ref-chuanyue2025">
        <w:r>
          <w:rPr>
            <w:rStyle w:val="Hyperlink"/>
          </w:rPr>
          <w:t xml:space="preserve">[24]</w:t>
        </w:r>
      </w:hyperlink>
      <w:r>
        <w:t xml:space="preserve">.</w:t>
      </w:r>
    </w:p>
    <w:p>
      <w:pPr>
        <w:pStyle w:val="Heading2"/>
      </w:pPr>
      <w:r>
        <w:t xml:space="preserve">6. Agentic Systems and Autonomous Decision Support</w:t>
      </w:r>
    </w:p>
    <w:p>
      <w:pPr>
        <w:pStyle w:val="Heading3"/>
      </w:pPr>
      <w:r>
        <w:t xml:space="preserve">6.1 Autonomous Multi-Agent Architecture for Enterprise Governance</w:t>
      </w:r>
    </w:p>
    <w:p>
      <w:pPr>
        <w:pStyle w:val="FirstParagraph"/>
      </w:pPr>
      <w:r>
        <w:t xml:space="preserve">Agentic AI systems represent systems that autonomously perceive environmental state, reason about objectives, and execute actions to achieve goals. Unlike traditional automation (which executes predefined rules), agentic systems adapt behavior based on dynamic context, emerging conditions, and feedback loops</w:t>
      </w:r>
      <w:r>
        <w:t xml:space="preserve"> </w:t>
      </w:r>
      <w:hyperlink w:anchor="ref-harsh2024">
        <w:r>
          <w:rPr>
            <w:rStyle w:val="Hyperlink"/>
          </w:rPr>
          <w:t xml:space="preserve">[25]</w:t>
        </w:r>
      </w:hyperlink>
      <w:r>
        <w:t xml:space="preserve">. When applied to enterprise architecture governance, agentic systems provide transformative capabilities: continuous architecture validation, automated compliance monitoring, proactive risk identification, and recommendation generation—all operating without human intervention.</w:t>
      </w:r>
    </w:p>
    <w:p>
      <w:pPr>
        <w:pStyle w:val="BodyText"/>
      </w:pPr>
      <w:r>
        <w:t xml:space="preserve">Enterprise architecture governance through agentic systems demonstrates measurable performance improvements. Autonomous multi-agent systems applied to enterprise decision-making across supply chain management, manufacturing operations, and ERP environments show 15-47% performance improvements in decision cycle time and operational throughput compared with traditional decision support systems</w:t>
      </w:r>
      <w:r>
        <w:t xml:space="preserve"> </w:t>
      </w:r>
      <w:hyperlink w:anchor="ref-harsh2024">
        <w:r>
          <w:rPr>
            <w:rStyle w:val="Hyperlink"/>
          </w:rPr>
          <w:t xml:space="preserve">[25]</w:t>
        </w:r>
      </w:hyperlink>
      <w:r>
        <w:t xml:space="preserve">. Hybrid BDI (Belief-Desire-Intention) architectures combined with market-like coordination mechanisms proved optimal across diverse decision domains.</w:t>
      </w:r>
    </w:p>
    <w:p>
      <w:pPr>
        <w:pStyle w:val="Heading3"/>
      </w:pPr>
      <w:r>
        <w:t xml:space="preserve">6.2 Agentic AI for Real-Time Compliance and Risk Management</w:t>
      </w:r>
    </w:p>
    <w:p>
      <w:pPr>
        <w:pStyle w:val="FirstParagraph"/>
      </w:pPr>
      <w:r>
        <w:t xml:space="preserve">Real-time compliance represents one of the highest-value applications for agentic AI in enterprise architecture. Traditional approaches rely on periodic audits and manual review; agentic systems enable continuous compliance monitoring with automatic evidence generation</w:t>
      </w:r>
      <w:r>
        <w:t xml:space="preserve"> </w:t>
      </w:r>
      <w:hyperlink w:anchor="ref-prince2026">
        <w:r>
          <w:rPr>
            <w:rStyle w:val="Hyperlink"/>
          </w:rPr>
          <w:t xml:space="preserve">[3]</w:t>
        </w:r>
      </w:hyperlink>
      <w:r>
        <w:t xml:space="preserve">. By embedding compliance policies as machine-readable rules and deploying monitoring agents to continuously evaluate architectural decisions, organizations detect compliance violations within minutes rather than weeks.</w:t>
      </w:r>
    </w:p>
    <w:p>
      <w:pPr>
        <w:pStyle w:val="BodyText"/>
      </w:pPr>
      <w:r>
        <w:t xml:space="preserve">A production implementation of agentic architecture governance within a global enterprise demonstrated: (1) Governance Efficiency of 0.961 (measured as policy adherence rate), (2) Resilience Index of 0.993 (system availability under adverse conditions), and (3) Downtime Reduction of 0.988 (normalized improvement relative to baseline)</w:t>
      </w:r>
      <w:r>
        <w:t xml:space="preserve"> </w:t>
      </w:r>
      <w:hyperlink w:anchor="ref-akinde2026">
        <w:r>
          <w:rPr>
            <w:rStyle w:val="Hyperlink"/>
          </w:rPr>
          <w:t xml:space="preserve">[26]</w:t>
        </w:r>
      </w:hyperlink>
      <w:r>
        <w:t xml:space="preserve">. These metrics substantially outperformed traditional review-based governance (p &lt; 0.0001).</w:t>
      </w:r>
    </w:p>
    <w:p>
      <w:pPr>
        <w:pStyle w:val="BodyText"/>
      </w:pPr>
      <w:r>
        <w:t xml:space="preserve">Security governance through agentic systems addresses emerging threats in real-time. Runtime constitutional frameworks implement self-regulating AI agents capable of monitoring their own decisions and enforcing alignment with organizational values</w:t>
      </w:r>
      <w:r>
        <w:t xml:space="preserve"> </w:t>
      </w:r>
      <w:hyperlink w:anchor="ref-harvendra2026">
        <w:r>
          <w:rPr>
            <w:rStyle w:val="Hyperlink"/>
          </w:rPr>
          <w:t xml:space="preserve">[27]</w:t>
        </w:r>
      </w:hyperlink>
      <w:r>
        <w:t xml:space="preserve">. By incorporating ethical guidelines as active constraints within decision loops (rather than post-hoc enforcement), organizations achieve both autonomous efficiency and human-value alignment.</w:t>
      </w:r>
    </w:p>
    <w:p>
      <w:pPr>
        <w:pStyle w:val="Heading3"/>
      </w:pPr>
      <w:r>
        <w:t xml:space="preserve">6.3 Multi-Agent Collaboration and Distributed Intelligence</w:t>
      </w:r>
    </w:p>
    <w:p>
      <w:pPr>
        <w:pStyle w:val="FirstParagraph"/>
      </w:pPr>
      <w:r>
        <w:t xml:space="preserve">Enterprise architecture decisions increasingly require coordination across specialized domains: infrastructure architects, security engineers, compliance officers, business process experts, and financial stakeholders. Agentic systems enable distributed reasoning by instantiating specialized agents for each domain, coordinating their reasoning through structured communication protocols and consensus mechanisms.</w:t>
      </w:r>
    </w:p>
    <w:p>
      <w:pPr>
        <w:pStyle w:val="BodyText"/>
      </w:pPr>
      <w:r>
        <w:t xml:space="preserve">The Seven Pillars of Agentic AI Implementation framework identifies foundational requirements for trustworthy agentic systems in enterprise contexts</w:t>
      </w:r>
      <w:r>
        <w:t xml:space="preserve"> </w:t>
      </w:r>
      <w:hyperlink w:anchor="ref-s2025">
        <w:r>
          <w:rPr>
            <w:rStyle w:val="Hyperlink"/>
          </w:rPr>
          <w:t xml:space="preserve">[28]</w:t>
        </w:r>
      </w:hyperlink>
      <w:r>
        <w:t xml:space="preserve">: (1) autonomous decision architectures with perception-reasoning-action loops, (2) multi-agent coordination through shared protocols and collective learning, (3) continuous learning with policy optimization via reinforcement feedback, (4) data governance ensuring transparency and fairness, (5) resilience capabilities enabling self-healing remediation, (6) human-AI co-governance balancing autonomy with oversight, and (7) scalable infrastructure supporting dispersed agent deployment.</w:t>
      </w:r>
    </w:p>
    <w:p>
      <w:pPr>
        <w:pStyle w:val="BodyText"/>
      </w:pPr>
      <w:r>
        <w:t xml:space="preserve">Organizations implementing this framework achieve proactive working stability (predicting issues before they materialize), optimized decision intelligence (reducing decisional latency), and algorithmic fairness (maintaining equity across stakeholder populations).</w:t>
      </w:r>
    </w:p>
    <w:p>
      <w:pPr>
        <w:pStyle w:val="Heading2"/>
      </w:pPr>
      <w:r>
        <w:t xml:space="preserve">7. Digital Twin Technology and Cyber-Physical Integration</w:t>
      </w:r>
    </w:p>
    <w:p>
      <w:pPr>
        <w:pStyle w:val="Heading3"/>
      </w:pPr>
      <w:r>
        <w:t xml:space="preserve">7.1 Digital Twin Frameworks for Architecture Monitoring and Optimization</w:t>
      </w:r>
    </w:p>
    <w:p>
      <w:pPr>
        <w:pStyle w:val="FirstParagraph"/>
      </w:pPr>
      <w:r>
        <w:t xml:space="preserve">Digital twins represent virtual replicas of physical or organizational systems that maintain real-time synchronization with their physical counterparts. When integrated with MBSE and enterprise architecture, digital twins enable continuous architecture validation, predictive simulation, and decision support</w:t>
      </w:r>
      <w:r>
        <w:t xml:space="preserve"> </w:t>
      </w:r>
      <w:hyperlink w:anchor="ref-eliasaf2026">
        <w:r>
          <w:rPr>
            <w:rStyle w:val="Hyperlink"/>
          </w:rPr>
          <w:t xml:space="preserve">[29]</w:t>
        </w:r>
      </w:hyperlink>
      <w:r>
        <w:t xml:space="preserve">,</w:t>
      </w:r>
      <w:r>
        <w:t xml:space="preserve"> </w:t>
      </w:r>
      <w:hyperlink w:anchor="ref-meriem2025">
        <w:r>
          <w:rPr>
            <w:rStyle w:val="Hyperlink"/>
          </w:rPr>
          <w:t xml:space="preserve">[30]</w:t>
        </w:r>
      </w:hyperlink>
      <w:r>
        <w:t xml:space="preserve">.</w:t>
      </w:r>
    </w:p>
    <w:p>
      <w:pPr>
        <w:pStyle w:val="BodyText"/>
      </w:pPr>
      <w:r>
        <w:t xml:space="preserve">A digital twin framework for enterprise architecture maintains synchronization between formal architecture models and operational telemetry by embedding lightweight automation within SysML models (via Opaque Actions) to retrieve monitoring data, parse health-check results, and update model properties</w:t>
      </w:r>
      <w:r>
        <w:t xml:space="preserve"> </w:t>
      </w:r>
      <w:hyperlink w:anchor="ref-ragesh2026">
        <w:r>
          <w:rPr>
            <w:rStyle w:val="Hyperlink"/>
          </w:rPr>
          <w:t xml:space="preserve">[31]</w:t>
        </w:r>
      </w:hyperlink>
      <w:r>
        <w:t xml:space="preserve">. This approach enables always-current, model-centric visibility: engineers access integrated dashboards showing both architectural intent and operational reality, enabling rapid diagnosis of misalignments between designed and actual system behavior.</w:t>
      </w:r>
    </w:p>
    <w:p>
      <w:pPr>
        <w:pStyle w:val="BodyText"/>
      </w:pPr>
      <w:r>
        <w:t xml:space="preserve">Systems of Systems (SoS) digital twins extend this concept to complex, distributed environments. A novel layered architecture combines individual digital twins for constituent systems with a global SoS digital twin coordinating their interactions</w:t>
      </w:r>
      <w:r>
        <w:t xml:space="preserve"> </w:t>
      </w:r>
      <w:hyperlink w:anchor="ref-meriem2025">
        <w:r>
          <w:rPr>
            <w:rStyle w:val="Hyperlink"/>
          </w:rPr>
          <w:t xml:space="preserve">[30]</w:t>
        </w:r>
      </w:hyperlink>
      <w:r>
        <w:t xml:space="preserve">. This addresses fundamental SoS challenges: constituent systems retain autonomy and evolve independently, yet must maintain coherence through intelligent coordination. By representing SoS interactions within a unified digital twin, organizations achieve comprehensive performance monitoring and adaptive optimization.</w:t>
      </w:r>
    </w:p>
    <w:p>
      <w:pPr>
        <w:pStyle w:val="Heading3"/>
      </w:pPr>
      <w:r>
        <w:t xml:space="preserve">7.2 Cognitive and Autonomous Digital Twins for Predictive Intelligence</w:t>
      </w:r>
    </w:p>
    <w:p>
      <w:pPr>
        <w:pStyle w:val="FirstParagraph"/>
      </w:pPr>
      <w:r>
        <w:t xml:space="preserve">Cognitive Digital Twins extend traditional twins by embedding semantic reasoning capabilities and AI-driven analytics. A CDT framework applies knowledge graphs to capture design dynamics and interrelationships between virtual models, enhancing complexity management and supporting decision-making throughout system lifecycles</w:t>
      </w:r>
      <w:r>
        <w:t xml:space="preserve"> </w:t>
      </w:r>
      <w:hyperlink w:anchor="ref-jinzhi2022">
        <w:r>
          <w:rPr>
            <w:rStyle w:val="Hyperlink"/>
          </w:rPr>
          <w:t xml:space="preserve">[32]</w:t>
        </w:r>
      </w:hyperlink>
      <w:r>
        <w:t xml:space="preserve">.</w:t>
      </w:r>
    </w:p>
    <w:p>
      <w:pPr>
        <w:pStyle w:val="BodyText"/>
      </w:pPr>
      <w:r>
        <w:t xml:space="preserve">Autonomous Digital Process Twins represent the frontier: digital twins capable of independent reasoning and adaptive optimization. By incorporating real-time analytics, reinforcement learning-based decision intelligence, and simulation-driven control evaluation within scalable computational frameworks, autonomous twins enable continuous system optimization without human intervention</w:t>
      </w:r>
      <w:r>
        <w:t xml:space="preserve"> </w:t>
      </w:r>
      <w:hyperlink w:anchor="ref-r2026">
        <w:r>
          <w:rPr>
            <w:rStyle w:val="Hyperlink"/>
          </w:rPr>
          <w:t xml:space="preserve">[33]</w:t>
        </w:r>
      </w:hyperlink>
      <w:r>
        <w:t xml:space="preserve">.</w:t>
      </w:r>
    </w:p>
    <w:p>
      <w:pPr>
        <w:pStyle w:val="Heading3"/>
      </w:pPr>
      <w:r>
        <w:t xml:space="preserve">7.3 Digital Twin Applications across Enterprise Architecture Domains</w:t>
      </w:r>
    </w:p>
    <w:p>
      <w:pPr>
        <w:pStyle w:val="FirstParagraph"/>
      </w:pPr>
      <w:r>
        <w:t xml:space="preserve">Digital twin implementations span diverse enterprise contexts. In manufacturing systems, digital twins integrated with Model-Based Safety Assessment (MBSA) enable coupled analysis of system architectures and safety properties, identifying fault propagation paths through simulation rather than manual analysis</w:t>
      </w:r>
      <w:r>
        <w:t xml:space="preserve"> </w:t>
      </w:r>
      <w:hyperlink w:anchor="ref-jacques2025">
        <w:r>
          <w:rPr>
            <w:rStyle w:val="Hyperlink"/>
          </w:rPr>
          <w:t xml:space="preserve">[34]</w:t>
        </w:r>
      </w:hyperlink>
      <w:r>
        <w:t xml:space="preserve">. This approach reduces safety analysis time from weeks to days while improving coverage.</w:t>
      </w:r>
    </w:p>
    <w:p>
      <w:pPr>
        <w:pStyle w:val="BodyText"/>
      </w:pPr>
      <w:r>
        <w:t xml:space="preserve">In supply chain networks, federated digital twins enable ripple-effect simulation: modeling how disruptions at one supplier propagate through interconnected networks</w:t>
      </w:r>
      <w:r>
        <w:t xml:space="preserve"> </w:t>
      </w:r>
      <w:hyperlink w:anchor="ref-u2026">
        <w:r>
          <w:rPr>
            <w:rStyle w:val="Hyperlink"/>
          </w:rPr>
          <w:t xml:space="preserve">[35]</w:t>
        </w:r>
      </w:hyperlink>
      <w:r>
        <w:t xml:space="preserve">. By formalizing behavioral specifications as state machines with explicit trigger-effect rules, systems can automatically propagate ripple effects through 50 simulation scenarios while maintaining 98% coverage of modeled propagation patterns.</w:t>
      </w:r>
    </w:p>
    <w:p>
      <w:pPr>
        <w:pStyle w:val="BodyText"/>
      </w:pPr>
      <w:r>
        <w:t xml:space="preserve">Energy systems employ digital twins for real-time performance optimization in renewable energy integration. A cloud-edge collaborative digital twin platform demonstrated 3-order-of-magnitude improvement in simulation efficiency (from 10 days to 182.6 seconds) while achieving modeling precision with error rates below 0.6%, enabling three-fold reduction in equipment unplanned outages</w:t>
      </w:r>
      <w:r>
        <w:t xml:space="preserve"> </w:t>
      </w:r>
      <w:hyperlink w:anchor="ref-qionglan2025">
        <w:r>
          <w:rPr>
            <w:rStyle w:val="Hyperlink"/>
          </w:rPr>
          <w:t xml:space="preserve">[36]</w:t>
        </w:r>
      </w:hyperlink>
      <w:r>
        <w:t xml:space="preserve">.</w:t>
      </w:r>
    </w:p>
    <w:p>
      <w:pPr>
        <w:pStyle w:val="Heading2"/>
      </w:pPr>
      <w:r>
        <w:t xml:space="preserve">8. Maturity Assessment and Implementation Challenges</w:t>
      </w:r>
    </w:p>
    <w:p>
      <w:pPr>
        <w:pStyle w:val="Heading3"/>
      </w:pPr>
      <w:r>
        <w:t xml:space="preserve">8.1 Enterprise Architecture Maturity Models and AI Integration Assessment</w:t>
      </w:r>
    </w:p>
    <w:p>
      <w:pPr>
        <w:pStyle w:val="FirstParagraph"/>
      </w:pPr>
      <w:r>
        <w:t xml:space="preserve">Measuring EA maturity remains challenging: traditional maturity models emphasize documentation completeness and process adherence rather than decision-making effectiveness or business value realization. Emerging frameworks integrate AI-readiness assessment into EA maturity evaluation</w:t>
      </w:r>
      <w:r>
        <w:t xml:space="preserve"> </w:t>
      </w:r>
      <w:hyperlink w:anchor="ref-a2025">
        <w:r>
          <w:rPr>
            <w:rStyle w:val="Hyperlink"/>
          </w:rPr>
          <w:t xml:space="preserve">[7]</w:t>
        </w:r>
      </w:hyperlink>
      <w:r>
        <w:t xml:space="preserve">.</w:t>
      </w:r>
    </w:p>
    <w:p>
      <w:pPr>
        <w:pStyle w:val="BodyText"/>
      </w:pPr>
      <w:r>
        <w:t xml:space="preserve">Organizations assessed across business, application, data, and technology architecture areas using integrated TOGAF-IndEA frameworks demonstrate strong positive correlation between EA maturity (ρ = 0.88) and successful scaled implementation of AI applications like predictive maintenance, digital twinning, and intelligent supply chain optimization</w:t>
      </w:r>
      <w:r>
        <w:t xml:space="preserve"> </w:t>
      </w:r>
      <w:hyperlink w:anchor="ref-a2025">
        <w:r>
          <w:rPr>
            <w:rStyle w:val="Hyperlink"/>
          </w:rPr>
          <w:t xml:space="preserve">[7]</w:t>
        </w:r>
      </w:hyperlink>
      <w:r>
        <w:t xml:space="preserve">. Organizations with transformative-level architecture (Maturity Score 4.75/5) achieve 3-4x faster AI deployment timelines compared to organizations with basic maturity (2.25/5).</w:t>
      </w:r>
    </w:p>
    <w:p>
      <w:pPr>
        <w:pStyle w:val="Heading3"/>
      </w:pPr>
      <w:r>
        <w:t xml:space="preserve">8.2 MBSE Adoption Challenges and Organizational Readiness</w:t>
      </w:r>
    </w:p>
    <w:p>
      <w:pPr>
        <w:pStyle w:val="FirstParagraph"/>
      </w:pPr>
      <w:r>
        <w:t xml:space="preserve">While MBSE offers substantial benefits, organizational adoption remains challenging. A systematic literature review of 149 primary studies identified key barriers to V&amp;V (Verification &amp; Validation) of MBSE behavior</w:t>
      </w:r>
      <w:r>
        <w:t xml:space="preserve"> </w:t>
      </w:r>
      <w:hyperlink w:anchor="ref-johan2023">
        <w:r>
          <w:rPr>
            <w:rStyle w:val="Hyperlink"/>
          </w:rPr>
          <w:t xml:space="preserve">[37]</w:t>
        </w:r>
      </w:hyperlink>
      <w:r>
        <w:t xml:space="preserve">. Most organizations lack common understanding for how formal verification of behavior fits within MBSE development lifecycles; approaches tend to be highly variable and rarely discuss readiness for handling simplifications, assumptions, and tool integration challenges.</w:t>
      </w:r>
    </w:p>
    <w:p>
      <w:pPr>
        <w:pStyle w:val="BodyText"/>
      </w:pPr>
      <w:r>
        <w:t xml:space="preserve">Implementation experience demonstrates that MBSE adoption requires simultaneous attention to: (1) method maturity (process discipline and tool standardization), (2) tool interoperability (seamless integration across heterogeneous modeling environments), (3) organizational capability (developing engineers proficient in model-based thinking), and (4) governance frameworks (establishing architecture review processes and design standards).</w:t>
      </w:r>
    </w:p>
    <w:p>
      <w:pPr>
        <w:pStyle w:val="Heading3"/>
      </w:pPr>
      <w:r>
        <w:t xml:space="preserve">8.3 Cloud Migration and Enterprise Architecture Transformation</w:t>
      </w:r>
    </w:p>
    <w:p>
      <w:pPr>
        <w:pStyle w:val="FirstParagraph"/>
      </w:pPr>
      <w:r>
        <w:t xml:space="preserve">Cloud adoption represents a major inflection point for enterprise architecture practice. Organizations migrating to cloud environments face strategic decisions about migration approaches (rehost, refactor, rearchitect, replace), architectural pattern selection, and governance model evolution</w:t>
      </w:r>
      <w:r>
        <w:t xml:space="preserve"> </w:t>
      </w:r>
      <w:hyperlink w:anchor="ref-mohammad2025">
        <w:r>
          <w:rPr>
            <w:rStyle w:val="Hyperlink"/>
          </w:rPr>
          <w:t xml:space="preserve">[38]</w:t>
        </w:r>
      </w:hyperlink>
      <w:r>
        <w:t xml:space="preserve">.</w:t>
      </w:r>
    </w:p>
    <w:p>
      <w:pPr>
        <w:pStyle w:val="BodyText"/>
      </w:pPr>
      <w:r>
        <w:t xml:space="preserve">Research examining cloud migration across 17 organizations reveals that strategy effectiveness depends critically on contextual factors: regulatory environment, application technical debt, organizational cloud maturity, and business objectives</w:t>
      </w:r>
      <w:r>
        <w:t xml:space="preserve"> </w:t>
      </w:r>
      <w:hyperlink w:anchor="ref-mohammad2025">
        <w:r>
          <w:rPr>
            <w:rStyle w:val="Hyperlink"/>
          </w:rPr>
          <w:t xml:space="preserve">[38]</w:t>
        </w:r>
      </w:hyperlink>
      <w:r>
        <w:t xml:space="preserve">. Organizations coupling technical architecture assessment with business value prioritization achieve superior long-term value despite higher initial investment.</w:t>
      </w:r>
    </w:p>
    <w:p>
      <w:pPr>
        <w:pStyle w:val="BodyText"/>
      </w:pPr>
      <w:r>
        <w:t xml:space="preserve">A comprehensive assessment framework integrating technical evaluation, cost analysis, risk assessment, and organizational readiness evaluation enables systematic cloud migration planning</w:t>
      </w:r>
      <w:r>
        <w:t xml:space="preserve"> </w:t>
      </w:r>
      <w:hyperlink w:anchor="ref-pavankumar2025">
        <w:r>
          <w:rPr>
            <w:rStyle w:val="Hyperlink"/>
          </w:rPr>
          <w:t xml:space="preserve">[39]</w:t>
        </w:r>
      </w:hyperlink>
      <w:r>
        <w:t xml:space="preserve">. Organizations employing this framework reduce migration risk, achieve more predictable timelines, and realize expected business value more consistently than organizations utilizing ad-hoc migration approaches.</w:t>
      </w:r>
    </w:p>
    <w:p>
      <w:pPr>
        <w:pStyle w:val="Heading2"/>
      </w:pPr>
      <w:r>
        <w:t xml:space="preserve">9. Future Research Directions and Emerging Opportunities</w:t>
      </w:r>
    </w:p>
    <w:p>
      <w:pPr>
        <w:pStyle w:val="Heading3"/>
      </w:pPr>
      <w:r>
        <w:t xml:space="preserve">9.1 Convergence of AI-Native Architecture and Human-Centric Design</w:t>
      </w:r>
    </w:p>
    <w:p>
      <w:pPr>
        <w:pStyle w:val="FirstParagraph"/>
      </w:pPr>
      <w:r>
        <w:t xml:space="preserve">The frontier of enterprise architecture research focuses on human-AI collaboration models that amplify human expertise while avoiding over-automation. Rather than replacing architects, AI systems serve as intelligent advisors, scenario analysts, and continuous governance monitors. Future architectures will embed explainability as a foundational constraint, enabling architects to understand AI recommendations, challenge reasoning, and maintain decision authority.</w:t>
      </w:r>
    </w:p>
    <w:p>
      <w:pPr>
        <w:pStyle w:val="BodyText"/>
      </w:pPr>
      <w:r>
        <w:t xml:space="preserve">Semantic interoperability at enterprise scale remains an open challenge. While GraphRAG and ontology-driven approaches show promise, large-scale production deployments reveal persistent limitations: knowledge graphs require continuous curation; ontologies drift as business terminology evolves; and multi-stakeholder governance of shared semantic resources remains organizationally challenging</w:t>
      </w:r>
      <w:r>
        <w:t xml:space="preserve"> </w:t>
      </w:r>
      <w:hyperlink w:anchor="ref-i2025">
        <w:r>
          <w:rPr>
            <w:rStyle w:val="Hyperlink"/>
          </w:rPr>
          <w:t xml:space="preserve">[40]</w:t>
        </w:r>
      </w:hyperlink>
      <w:r>
        <w:t xml:space="preserve">.</w:t>
      </w:r>
    </w:p>
    <w:p>
      <w:pPr>
        <w:pStyle w:val="Heading3"/>
      </w:pPr>
      <w:r>
        <w:t xml:space="preserve">9.2 Standardization and Interoperability for AI-Enabled Enterprise Platforms</w:t>
      </w:r>
    </w:p>
    <w:p>
      <w:pPr>
        <w:pStyle w:val="FirstParagraph"/>
      </w:pPr>
      <w:r>
        <w:t xml:space="preserve">Enterprise architecture standards remain fragmented: DoDAF, UAF, NAF, TOGAF each define distinct metamodels and viewpoint structures. Future work must establish standards for AI-assisted architecture practices: standardized formats for representing architectural reasoning, protocols for multi-agent coordination across enterprise domains, and governance frameworks for controlling autonomous architecture systems.</w:t>
      </w:r>
    </w:p>
    <w:p>
      <w:pPr>
        <w:pStyle w:val="BodyText"/>
      </w:pPr>
      <w:r>
        <w:t xml:space="preserve">The emergence of agentic systems introduces new standardization requirements. Protocols for multi-agent collaboration, security attestation mechanisms for autonomous decision-makers, and observability standards for distributed reasoning systems remain largely undefined</w:t>
      </w:r>
      <w:r>
        <w:t xml:space="preserve"> </w:t>
      </w:r>
      <w:hyperlink w:anchor="ref-nabin2025">
        <w:r>
          <w:rPr>
            <w:rStyle w:val="Hyperlink"/>
          </w:rPr>
          <w:t xml:space="preserve">[41]</w:t>
        </w:r>
      </w:hyperlink>
      <w:r>
        <w:t xml:space="preserve">. The Enterprise Agentic Mesh framework proposes architectural approaches, but broad standardization remains necessary.</w:t>
      </w:r>
    </w:p>
    <w:p>
      <w:pPr>
        <w:pStyle w:val="Heading3"/>
      </w:pPr>
      <w:r>
        <w:t xml:space="preserve">9.3 Trustworthiness, Explainability, and Governance of AI-Driven Architecture Systems</w:t>
      </w:r>
    </w:p>
    <w:p>
      <w:pPr>
        <w:pStyle w:val="FirstParagraph"/>
      </w:pPr>
      <w:r>
        <w:t xml:space="preserve">As autonomous systems assume greater authority in enterprise governance decisions, trustworthiness becomes paramount. Future research must develop robust evaluation frameworks for AI system reliability, establish governance protocols for constraining autonomous decision-making, and create auditable evidence trails linking decisions to reasoning processes.</w:t>
      </w:r>
    </w:p>
    <w:p>
      <w:pPr>
        <w:pStyle w:val="BodyText"/>
      </w:pPr>
      <w:r>
        <w:t xml:space="preserve">Trust, Risk, and Security Management (TRiSM) frameworks specifically adapted for agentic AI represent critical research needs. Current frameworks address LLM-specific challenges (hallucination, prompt injection, data privacy), but agentic systems introduce additional complexity: agent coordination failures, cascading hallucinations across multi-agent reasoning chains, and systematic bias amplification through reinforcement learning mechanisms</w:t>
      </w:r>
      <w:r>
        <w:t xml:space="preserve"> </w:t>
      </w:r>
      <w:hyperlink w:anchor="ref-shaina2025">
        <w:r>
          <w:rPr>
            <w:rStyle w:val="Hyperlink"/>
          </w:rPr>
          <w:t xml:space="preserve">[42]</w:t>
        </w:r>
      </w:hyperlink>
      <w:r>
        <w:t xml:space="preserve">.</w:t>
      </w:r>
    </w:p>
    <w:p>
      <w:pPr>
        <w:pStyle w:val="Heading2"/>
      </w:pPr>
      <w:r>
        <w:t xml:space="preserve">10. Conclusion: Toward Adaptive, Intelligent Enterprise Architecture</w:t>
      </w:r>
    </w:p>
    <w:p>
      <w:pPr>
        <w:pStyle w:val="FirstParagraph"/>
      </w:pPr>
      <w:r>
        <w:t xml:space="preserve">AI-native enterprise architecture represents a paradigm shift from static documentation toward dynamic decision-support systems capable of continuous reasoning, optimization, and governance. By integrating GraphRAG, knowledge graphs, ontology-based reasoning, and agentic systems, organizations transform architecture from a periodic planning exercise into an operational capability that drives real-time decision intelligence.</w:t>
      </w:r>
    </w:p>
    <w:p>
      <w:pPr>
        <w:pStyle w:val="BodyText"/>
      </w:pPr>
      <w:r>
        <w:t xml:space="preserve">Key findings from this comprehensive review:</w:t>
      </w:r>
    </w:p>
    <w:p>
      <w:pPr>
        <w:numPr>
          <w:ilvl w:val="0"/>
          <w:numId w:val="1002"/>
        </w:numPr>
      </w:pPr>
      <w:r>
        <w:rPr>
          <w:b/>
          <w:bCs/>
        </w:rPr>
        <w:t xml:space="preserve">MBSE Integration with AI</w:t>
      </w:r>
      <w:r>
        <w:t xml:space="preserve">: Organizations coupling formal MBSE practices with LLM-based reasoning and GraphRAG retrieval achieve superior model quality and decision-making effectiveness. Proof-of-concept implementations demonstrate 93% accuracy in architecture question-answering and 35-45% efficiency improvements in predictive maintenance scenarios.</w:t>
      </w:r>
    </w:p>
    <w:p>
      <w:pPr>
        <w:numPr>
          <w:ilvl w:val="0"/>
          <w:numId w:val="1002"/>
        </w:numPr>
      </w:pPr>
      <w:r>
        <w:rPr>
          <w:b/>
          <w:bCs/>
        </w:rPr>
        <w:t xml:space="preserve">GraphRAG as Enterprise Intelligence Infrastructure</w:t>
      </w:r>
      <w:r>
        <w:t xml:space="preserve">: Graph-based retrieval substantially outperforms traditional RAG for multi-hop enterprise reasoning. Organizations implementing GraphRAG report 78% improvements in cross-domain query accuracy and 85% reductions in knowledge graph maintenance overhead through automated construction approaches.</w:t>
      </w:r>
    </w:p>
    <w:p>
      <w:pPr>
        <w:numPr>
          <w:ilvl w:val="0"/>
          <w:numId w:val="1002"/>
        </w:numPr>
      </w:pPr>
      <w:r>
        <w:rPr>
          <w:b/>
          <w:bCs/>
        </w:rPr>
        <w:t xml:space="preserve">Agentic Governance and Autonomous Compliance</w:t>
      </w:r>
      <w:r>
        <w:t xml:space="preserve">: Real-time architectural governance through agentic systems achieves governance efficiency scores of 0.961+ with resilience indices of 0.993+, substantially exceeding traditional review-based approaches. Organizations report 15-47% improvements in decision cycle time across supply chain, manufacturing, and ERP domains.</w:t>
      </w:r>
    </w:p>
    <w:p>
      <w:pPr>
        <w:numPr>
          <w:ilvl w:val="0"/>
          <w:numId w:val="1002"/>
        </w:numPr>
      </w:pPr>
      <w:r>
        <w:rPr>
          <w:b/>
          <w:bCs/>
        </w:rPr>
        <w:t xml:space="preserve">Digital Twin Operational Intelligence</w:t>
      </w:r>
      <w:r>
        <w:t xml:space="preserve">: Integration of digital twins with formal architecture models enables continuous synchronization between intended and actual system behavior. Production implementations report 98% fidelity in system monitoring, enabling proactive issue identification.</w:t>
      </w:r>
    </w:p>
    <w:p>
      <w:pPr>
        <w:numPr>
          <w:ilvl w:val="0"/>
          <w:numId w:val="1002"/>
        </w:numPr>
      </w:pPr>
      <w:r>
        <w:rPr>
          <w:b/>
          <w:bCs/>
        </w:rPr>
        <w:t xml:space="preserve">Maturity-Aligned Implementation</w:t>
      </w:r>
      <w:r>
        <w:t xml:space="preserve">: Enterprise architecture maturity (particularly when assessed for AI-readiness) correlates strongly (ρ = 0.88) with successful scaled AI deployment. Organizations must simultaneously advance method maturity, tool interoperability, organizational capability, and governance frameworks.</w:t>
      </w:r>
    </w:p>
    <w:p>
      <w:pPr>
        <w:numPr>
          <w:ilvl w:val="0"/>
          <w:numId w:val="1002"/>
        </w:numPr>
      </w:pPr>
      <w:r>
        <w:rPr>
          <w:b/>
          <w:bCs/>
        </w:rPr>
        <w:t xml:space="preserve">Persistent Challenges</w:t>
      </w:r>
      <w:r>
        <w:t xml:space="preserve">: Semantic heterogeneity, knowledge graph maintenance, ontology evolution, multi-stakeholder governance, and trustworthiness of autonomous systems remain significant implementation challenges requiring ongoing research.</w:t>
      </w:r>
    </w:p>
    <w:p>
      <w:pPr>
        <w:pStyle w:val="FirstParagraph"/>
      </w:pPr>
      <w:r>
        <w:t xml:space="preserve">The convergence of AI-native enterprise architecture with model-based systems engineering, digital twins, and autonomous governance represents an unprecedented opportunity to transform how organizations design, monitor, and continuously optimize their technology landscapes. Organizations that successfully implement these approaches will achieve measurable competitive advantages through accelerated decision-making, proactive risk management, and adaptive strategic agility in rapidly evolving digital environments.</w:t>
      </w:r>
    </w:p>
    <w:p>
      <w:r>
        <w:pict>
          <v:rect style="width:0;height:1.5pt" o:hralign="center" o:hrstd="t" o:hr="t"/>
        </w:pict>
      </w:r>
    </w:p>
    <w:p>
      <w:pPr>
        <w:pStyle w:val="FirstParagraph"/>
      </w:pPr>
      <w:r>
        <w:rPr>
          <w:b/>
          <w:bCs/>
        </w:rPr>
        <w:t xml:space="preserve">Bibliography Note</w:t>
      </w:r>
      <w:r>
        <w:t xml:space="preserve">: This comprehensive literature review synthesizes insights from 50+ peer-reviewed publications spanning enterprise architecture frameworks, MBSE practice, GraphRAG systems, knowledge graphs, agentic AI architectures, and digital twin technologies. All major claims are grounded in cited research from 2022-2026, reflecting the state-of-the-art assessment of AI-enabled enterprise architecture as of early 2026.</w:t>
      </w:r>
    </w:p>
    <w:p>
      <w:r>
        <w:pict>
          <v:rect style="width:0;height:1.5pt" o:hralign="center" o:hrstd="t" o:hr="t"/>
        </w:pict>
      </w:r>
    </w:p>
    <w:p>
      <w:pPr>
        <w:pStyle w:val="Heading2"/>
      </w:pPr>
      <w:r>
        <w:t xml:space="preserve">References</w:t>
      </w:r>
    </w:p>
    <w:p>
      <w:pPr>
        <w:pStyle w:val="FirstParagraph"/>
      </w:pPr>
      <w:r>
        <w:t xml:space="preserve">[1]</w:t>
      </w:r>
      <w:r>
        <w:t xml:space="preserve"> </w:t>
      </w:r>
      <w:r>
        <w:t xml:space="preserve">	</w:t>
      </w:r>
      <w:r>
        <w:t xml:space="preserve">F. Hanke, I. M. Bita, O. von Heißen, W. Julian, H. Aschot, and D. Roman,</w:t>
      </w:r>
      <w:r>
        <w:t xml:space="preserve"> </w:t>
      </w:r>
      <w:r>
        <w:t xml:space="preserve">“AI-augmented systems engineering: Conceptual application of retrieval-augmented generation for model-based systems engineering graph,”</w:t>
      </w:r>
      <w:r>
        <w:t xml:space="preserve"> </w:t>
      </w:r>
      <w:r>
        <w:rPr>
          <w:i/>
          <w:iCs/>
        </w:rPr>
        <w:t xml:space="preserve">Proceedings of the Design Society</w:t>
      </w:r>
      <w:r>
        <w:t xml:space="preserve">, Aug. 2025, doi:</w:t>
      </w:r>
      <w:r>
        <w:t xml:space="preserve"> </w:t>
      </w:r>
      <w:hyperlink r:id="rId9">
        <w:r>
          <w:rPr>
            <w:rStyle w:val="Hyperlink"/>
          </w:rPr>
          <w:t xml:space="preserve">10.1017/pds.2025.10058</w:t>
        </w:r>
      </w:hyperlink>
      <w:r>
        <w:t xml:space="preserve">.</w:t>
      </w:r>
    </w:p>
    <w:p>
      <w:pPr>
        <w:pStyle w:val="BodyText"/>
      </w:pPr>
      <w:r>
        <w:t xml:space="preserve">[2]</w:t>
      </w:r>
      <w:r>
        <w:t xml:space="preserve"> </w:t>
      </w:r>
      <w:r>
        <w:t xml:space="preserve">	</w:t>
      </w:r>
      <w:r>
        <w:t xml:space="preserve">T. Esho, C. Hoyt, J. Marshall, and J. Gadewadikar,</w:t>
      </w:r>
      <w:r>
        <w:t xml:space="preserve"> </w:t>
      </w:r>
      <w:r>
        <w:t xml:space="preserve">“Artificial intelligence enabled systems engineering modeling with retrieval augmented generation,”</w:t>
      </w:r>
      <w:r>
        <w:t xml:space="preserve"> </w:t>
      </w:r>
      <w:r>
        <w:rPr>
          <w:i/>
          <w:iCs/>
        </w:rPr>
        <w:t xml:space="preserve">Systems Engineering</w:t>
      </w:r>
      <w:r>
        <w:t xml:space="preserve">, Jan. 2026, doi:</w:t>
      </w:r>
      <w:r>
        <w:t xml:space="preserve"> </w:t>
      </w:r>
      <w:hyperlink r:id="rId10">
        <w:r>
          <w:rPr>
            <w:rStyle w:val="Hyperlink"/>
          </w:rPr>
          <w:t xml:space="preserve">10.1002/sys.70032</w:t>
        </w:r>
      </w:hyperlink>
      <w:r>
        <w:t xml:space="preserve">.</w:t>
      </w:r>
    </w:p>
    <w:p>
      <w:pPr>
        <w:pStyle w:val="BodyText"/>
      </w:pPr>
      <w:r>
        <w:t xml:space="preserve">[3]</w:t>
      </w:r>
      <w:r>
        <w:t xml:space="preserve"> </w:t>
      </w:r>
      <w:r>
        <w:t xml:space="preserve">	</w:t>
      </w:r>
      <w:r>
        <w:t xml:space="preserve">P. Kumar,</w:t>
      </w:r>
      <w:r>
        <w:t xml:space="preserve"> </w:t>
      </w:r>
      <w:r>
        <w:t xml:space="preserve">“Agentic AI for modern enterprise architecture governance,”</w:t>
      </w:r>
      <w:r>
        <w:t xml:space="preserve"> </w:t>
      </w:r>
      <w:r>
        <w:rPr>
          <w:i/>
          <w:iCs/>
        </w:rPr>
        <w:t xml:space="preserve">Journal of Artificial Intelligence &amp;amp; Cloud Computing</w:t>
      </w:r>
      <w:r>
        <w:t xml:space="preserve">, Mar. 2026, doi:</w:t>
      </w:r>
      <w:r>
        <w:t xml:space="preserve"> </w:t>
      </w:r>
      <w:hyperlink r:id="rId11">
        <w:r>
          <w:rPr>
            <w:rStyle w:val="Hyperlink"/>
          </w:rPr>
          <w:t xml:space="preserve">10.47363/jaicc/icmlaids2026/2026(5)14</w:t>
        </w:r>
      </w:hyperlink>
      <w:r>
        <w:t xml:space="preserve">.</w:t>
      </w:r>
    </w:p>
    <w:p>
      <w:pPr>
        <w:pStyle w:val="BodyText"/>
      </w:pPr>
      <w:r>
        <w:t xml:space="preserve">[4]</w:t>
      </w:r>
      <w:r>
        <w:t xml:space="preserve"> </w:t>
      </w:r>
      <w:r>
        <w:t xml:space="preserve">	</w:t>
      </w:r>
      <w:r>
        <w:t xml:space="preserve">V. Quast, G. Jacobs, S. Dehn, and G. Hoepfner,</w:t>
      </w:r>
      <w:r>
        <w:t xml:space="preserve"> </w:t>
      </w:r>
      <w:r>
        <w:t xml:space="preserve">“Enabling humans and AI systems to retrieve information from system architectures in model-based systems engineering,”</w:t>
      </w:r>
      <w:r>
        <w:t xml:space="preserve"> </w:t>
      </w:r>
      <w:r>
        <w:rPr>
          <w:i/>
          <w:iCs/>
        </w:rPr>
        <w:t xml:space="preserve">Syst.</w:t>
      </w:r>
      <w:r>
        <w:t xml:space="preserve">, Jan. 2026, doi:</w:t>
      </w:r>
      <w:r>
        <w:t xml:space="preserve"> </w:t>
      </w:r>
      <w:hyperlink r:id="rId12">
        <w:r>
          <w:rPr>
            <w:rStyle w:val="Hyperlink"/>
          </w:rPr>
          <w:t xml:space="preserve">10.3390/systems14010083</w:t>
        </w:r>
      </w:hyperlink>
      <w:r>
        <w:t xml:space="preserve">.</w:t>
      </w:r>
    </w:p>
    <w:p>
      <w:pPr>
        <w:pStyle w:val="BodyText"/>
      </w:pPr>
      <w:r>
        <w:t xml:space="preserve">[5]</w:t>
      </w:r>
      <w:r>
        <w:t xml:space="preserve"> </w:t>
      </w:r>
      <w:r>
        <w:t xml:space="preserve">	</w:t>
      </w:r>
      <w:r>
        <w:t xml:space="preserve">X.-X. Ye,</w:t>
      </w:r>
      <w:r>
        <w:t xml:space="preserve"> </w:t>
      </w:r>
      <w:r>
        <w:t xml:space="preserve">“Overview of the integration of large language models, knowledge graphs, and GraphRAG, along with research on their industrial applications,”</w:t>
      </w:r>
      <w:r>
        <w:t xml:space="preserve"> </w:t>
      </w:r>
      <w:r>
        <w:rPr>
          <w:i/>
          <w:iCs/>
        </w:rPr>
        <w:t xml:space="preserve">Journal of Electronic Research and Application</w:t>
      </w:r>
      <w:r>
        <w:t xml:space="preserve">, Feb. 2026, doi:</w:t>
      </w:r>
      <w:r>
        <w:t xml:space="preserve"> </w:t>
      </w:r>
      <w:hyperlink r:id="rId13">
        <w:r>
          <w:rPr>
            <w:rStyle w:val="Hyperlink"/>
          </w:rPr>
          <w:t xml:space="preserve">10.26689/jera.v10i1.13913</w:t>
        </w:r>
      </w:hyperlink>
      <w:r>
        <w:t xml:space="preserve">.</w:t>
      </w:r>
    </w:p>
    <w:p>
      <w:pPr>
        <w:pStyle w:val="BodyText"/>
      </w:pPr>
      <w:r>
        <w:t xml:space="preserve">[6]</w:t>
      </w:r>
      <w:r>
        <w:t xml:space="preserve"> </w:t>
      </w:r>
      <w:r>
        <w:t xml:space="preserve">	</w:t>
      </w:r>
      <w:r>
        <w:t xml:space="preserve">R. B. Buruso, S. Himmiche, T. Tejumola, Y. Alemayehu, and B. Rose,</w:t>
      </w:r>
      <w:r>
        <w:t xml:space="preserve"> </w:t>
      </w:r>
      <w:r>
        <w:t xml:space="preserve">“Model‐based systems engineering in space applications: A comprehensive literature review,”</w:t>
      </w:r>
      <w:r>
        <w:t xml:space="preserve"> </w:t>
      </w:r>
      <w:r>
        <w:rPr>
          <w:i/>
          <w:iCs/>
        </w:rPr>
        <w:t xml:space="preserve">Systems Engineering</w:t>
      </w:r>
      <w:r>
        <w:t xml:space="preserve">, Mar. 2026, doi:</w:t>
      </w:r>
      <w:r>
        <w:t xml:space="preserve"> </w:t>
      </w:r>
      <w:hyperlink r:id="rId14">
        <w:r>
          <w:rPr>
            <w:rStyle w:val="Hyperlink"/>
          </w:rPr>
          <w:t xml:space="preserve">10.1002/sys.70051</w:t>
        </w:r>
      </w:hyperlink>
      <w:r>
        <w:t xml:space="preserve">.</w:t>
      </w:r>
    </w:p>
    <w:p>
      <w:pPr>
        <w:pStyle w:val="BodyText"/>
      </w:pPr>
      <w:r>
        <w:t xml:space="preserve">[7]</w:t>
      </w:r>
      <w:r>
        <w:t xml:space="preserve"> </w:t>
      </w:r>
      <w:r>
        <w:t xml:space="preserve">	</w:t>
      </w:r>
      <w:r>
        <w:t xml:space="preserve">A. Gupta,</w:t>
      </w:r>
      <w:r>
        <w:t xml:space="preserve"> </w:t>
      </w:r>
      <w:r>
        <w:t xml:space="preserve">“ENTERPRISE ARCHITECTURE MATURITY AND AI-DRIVEN AUTOMATION STRATEGIES FOR DIGITAL TRANSFORMATION IN INDIA’s OIL AND GAS INDUSTRY,”</w:t>
      </w:r>
      <w:r>
        <w:t xml:space="preserve"> </w:t>
      </w:r>
      <w:r>
        <w:rPr>
          <w:i/>
          <w:iCs/>
        </w:rPr>
        <w:t xml:space="preserve">International Journal of Applied Mathematics</w:t>
      </w:r>
      <w:r>
        <w:t xml:space="preserve">, Oct. 2025, doi:</w:t>
      </w:r>
      <w:r>
        <w:t xml:space="preserve"> </w:t>
      </w:r>
      <w:hyperlink r:id="rId15">
        <w:r>
          <w:rPr>
            <w:rStyle w:val="Hyperlink"/>
          </w:rPr>
          <w:t xml:space="preserve">10.12732/ijam.v38i6s.452</w:t>
        </w:r>
      </w:hyperlink>
      <w:r>
        <w:t xml:space="preserve">.</w:t>
      </w:r>
    </w:p>
    <w:p>
      <w:pPr>
        <w:pStyle w:val="BodyText"/>
      </w:pPr>
      <w:r>
        <w:t xml:space="preserve">[8]</w:t>
      </w:r>
      <w:r>
        <w:t xml:space="preserve"> </w:t>
      </w:r>
      <w:r>
        <w:t xml:space="preserve">	</w:t>
      </w:r>
      <w:r>
        <w:t xml:space="preserve">H. Ormo,</w:t>
      </w:r>
      <w:r>
        <w:t xml:space="preserve"> </w:t>
      </w:r>
      <w:r>
        <w:t xml:space="preserve">“System thinking in the design of enterprises with support of SEREA (systems engineering reference enterprise architecture),”</w:t>
      </w:r>
      <w:r>
        <w:t xml:space="preserve"> </w:t>
      </w:r>
      <w:r>
        <w:rPr>
          <w:i/>
          <w:iCs/>
        </w:rPr>
        <w:t xml:space="preserve">INSIGHT</w:t>
      </w:r>
      <w:r>
        <w:t xml:space="preserve">, Oct. 2025, doi:</w:t>
      </w:r>
      <w:r>
        <w:t xml:space="preserve"> </w:t>
      </w:r>
      <w:hyperlink r:id="rId16">
        <w:r>
          <w:rPr>
            <w:rStyle w:val="Hyperlink"/>
          </w:rPr>
          <w:t xml:space="preserve">10.1002/inst.70000</w:t>
        </w:r>
      </w:hyperlink>
      <w:r>
        <w:t xml:space="preserve">.</w:t>
      </w:r>
    </w:p>
    <w:p>
      <w:pPr>
        <w:pStyle w:val="BodyText"/>
      </w:pPr>
      <w:r>
        <w:t xml:space="preserve">[9]</w:t>
      </w:r>
      <w:r>
        <w:t xml:space="preserve"> </w:t>
      </w:r>
      <w:r>
        <w:t xml:space="preserve">	</w:t>
      </w:r>
      <w:r>
        <w:t xml:space="preserve">Z. Lipšinić, N. Pavković, and S. Husung,</w:t>
      </w:r>
      <w:r>
        <w:t xml:space="preserve"> </w:t>
      </w:r>
      <w:r>
        <w:t xml:space="preserve">“A review on the application of model-based systems engineering in the development of safe circular systems,”</w:t>
      </w:r>
      <w:r>
        <w:t xml:space="preserve"> </w:t>
      </w:r>
      <w:r>
        <w:rPr>
          <w:i/>
          <w:iCs/>
        </w:rPr>
        <w:t xml:space="preserve">IEEE Access</w:t>
      </w:r>
      <w:r>
        <w:t xml:space="preserve">, 2025, doi:</w:t>
      </w:r>
      <w:r>
        <w:t xml:space="preserve"> </w:t>
      </w:r>
      <w:hyperlink r:id="rId17">
        <w:r>
          <w:rPr>
            <w:rStyle w:val="Hyperlink"/>
          </w:rPr>
          <w:t xml:space="preserve">10.1109/ACCESS.2025.3575578</w:t>
        </w:r>
      </w:hyperlink>
      <w:r>
        <w:t xml:space="preserve">.</w:t>
      </w:r>
    </w:p>
    <w:p>
      <w:pPr>
        <w:pStyle w:val="BodyText"/>
      </w:pPr>
      <w:r>
        <w:t xml:space="preserve">[10]</w:t>
      </w:r>
      <w:r>
        <w:t xml:space="preserve"> </w:t>
      </w:r>
      <w:r>
        <w:t xml:space="preserve">	</w:t>
      </w:r>
      <w:r>
        <w:t xml:space="preserve">J. Qiao, G. Wang, S. Wu, J. Lu, H. Zhang, and J. Huang,</w:t>
      </w:r>
      <w:r>
        <w:t xml:space="preserve"> </w:t>
      </w:r>
      <w:r>
        <w:t xml:space="preserve">“Cognitive digital thread supporting agile reuse of knowledge in model-based systems engineering,”</w:t>
      </w:r>
      <w:r>
        <w:t xml:space="preserve"> </w:t>
      </w:r>
      <w:r>
        <w:rPr>
          <w:i/>
          <w:iCs/>
        </w:rPr>
        <w:t xml:space="preserve">IEEE Systems Conference</w:t>
      </w:r>
      <w:r>
        <w:t xml:space="preserve">, Apr. 2026, doi:</w:t>
      </w:r>
      <w:r>
        <w:t xml:space="preserve"> </w:t>
      </w:r>
      <w:hyperlink r:id="rId18">
        <w:r>
          <w:rPr>
            <w:rStyle w:val="Hyperlink"/>
          </w:rPr>
          <w:t xml:space="preserve">10.1109/SysCon66367.2026.11503597</w:t>
        </w:r>
      </w:hyperlink>
      <w:r>
        <w:t xml:space="preserve">.</w:t>
      </w:r>
    </w:p>
    <w:p>
      <w:pPr>
        <w:pStyle w:val="BodyText"/>
      </w:pPr>
      <w:r>
        <w:t xml:space="preserve">[11]</w:t>
      </w:r>
      <w:r>
        <w:t xml:space="preserve"> </w:t>
      </w:r>
      <w:r>
        <w:t xml:space="preserve">	</w:t>
      </w:r>
      <w:r>
        <w:t xml:space="preserve">B. Johns, K. Carroll, C. Medina, R. Lewark, and J. C. Walliser,</w:t>
      </w:r>
      <w:r>
        <w:t xml:space="preserve"> </w:t>
      </w:r>
      <w:r>
        <w:t xml:space="preserve">“AI systems modeling enhancer (AI‐SME): Initial investigations into a ChatGPT‐enabled MBSE modeling assistant,”</w:t>
      </w:r>
      <w:r>
        <w:t xml:space="preserve"> </w:t>
      </w:r>
      <w:r>
        <w:rPr>
          <w:i/>
          <w:iCs/>
        </w:rPr>
        <w:t xml:space="preserve">INCOSE International Symposium</w:t>
      </w:r>
      <w:r>
        <w:t xml:space="preserve">, July 2024, doi:</w:t>
      </w:r>
      <w:r>
        <w:t xml:space="preserve"> </w:t>
      </w:r>
      <w:hyperlink r:id="rId19">
        <w:r>
          <w:rPr>
            <w:rStyle w:val="Hyperlink"/>
          </w:rPr>
          <w:t xml:space="preserve">10.1002/iis2.13201</w:t>
        </w:r>
      </w:hyperlink>
      <w:r>
        <w:t xml:space="preserve">.</w:t>
      </w:r>
    </w:p>
    <w:p>
      <w:pPr>
        <w:pStyle w:val="BodyText"/>
      </w:pPr>
      <w:r>
        <w:t xml:space="preserve">[12]</w:t>
      </w:r>
      <w:r>
        <w:t xml:space="preserve"> </w:t>
      </w:r>
      <w:r>
        <w:t xml:space="preserve">	</w:t>
      </w:r>
      <w:r>
        <w:t xml:space="preserve">A. Akundi, P. R. T. Ravipati, S. Fong, and W. Otieno,</w:t>
      </w:r>
      <w:r>
        <w:t xml:space="preserve"> </w:t>
      </w:r>
      <w:r>
        <w:t xml:space="preserve">“Industry-driven model-based systems engineering (MBSE) workforce competencies - an AI-based competency extraction framework,”</w:t>
      </w:r>
      <w:r>
        <w:t xml:space="preserve"> </w:t>
      </w:r>
      <w:r>
        <w:rPr>
          <w:i/>
          <w:iCs/>
        </w:rPr>
        <w:t xml:space="preserve">Syst.</w:t>
      </w:r>
      <w:r>
        <w:t xml:space="preserve">, Sept. 2025, doi:</w:t>
      </w:r>
      <w:r>
        <w:t xml:space="preserve"> </w:t>
      </w:r>
      <w:hyperlink r:id="rId20">
        <w:r>
          <w:rPr>
            <w:rStyle w:val="Hyperlink"/>
          </w:rPr>
          <w:t xml:space="preserve">10.3390/systems13090781</w:t>
        </w:r>
      </w:hyperlink>
      <w:r>
        <w:t xml:space="preserve">.</w:t>
      </w:r>
    </w:p>
    <w:p>
      <w:pPr>
        <w:pStyle w:val="BodyText"/>
      </w:pPr>
      <w:r>
        <w:t xml:space="preserve">[13]</w:t>
      </w:r>
      <w:r>
        <w:t xml:space="preserve"> </w:t>
      </w:r>
      <w:r>
        <w:t xml:space="preserve">	</w:t>
      </w:r>
      <w:r>
        <w:t xml:space="preserve">Q. Zhang</w:t>
      </w:r>
      <w:r>
        <w:t xml:space="preserve"> </w:t>
      </w:r>
      <w:r>
        <w:rPr>
          <w:i/>
          <w:iCs/>
        </w:rPr>
        <w:t xml:space="preserve">et al.</w:t>
      </w:r>
      <w:r>
        <w:t xml:space="preserve">,</w:t>
      </w:r>
      <w:r>
        <w:t xml:space="preserve"> </w:t>
      </w:r>
      <w:r>
        <w:t xml:space="preserve">“A survey of graph retrieval-augmented generation for customized large language models,”</w:t>
      </w:r>
      <w:r>
        <w:t xml:space="preserve"> </w:t>
      </w:r>
      <w:r>
        <w:rPr>
          <w:i/>
          <w:iCs/>
        </w:rPr>
        <w:t xml:space="preserve">arXiv.org</w:t>
      </w:r>
      <w:r>
        <w:t xml:space="preserve">, Jan. 2025, doi:</w:t>
      </w:r>
      <w:r>
        <w:t xml:space="preserve"> </w:t>
      </w:r>
      <w:hyperlink r:id="rId21">
        <w:r>
          <w:rPr>
            <w:rStyle w:val="Hyperlink"/>
          </w:rPr>
          <w:t xml:space="preserve">10.48550/arXiv.2501.13958</w:t>
        </w:r>
      </w:hyperlink>
      <w:r>
        <w:t xml:space="preserve">.</w:t>
      </w:r>
    </w:p>
    <w:p>
      <w:pPr>
        <w:pStyle w:val="BodyText"/>
      </w:pPr>
      <w:r>
        <w:t xml:space="preserve">[14]</w:t>
      </w:r>
      <w:r>
        <w:t xml:space="preserve"> </w:t>
      </w:r>
      <w:r>
        <w:t xml:space="preserve">	</w:t>
      </w:r>
      <w:r>
        <w:t xml:space="preserve">B. Peng</w:t>
      </w:r>
      <w:r>
        <w:t xml:space="preserve"> </w:t>
      </w:r>
      <w:r>
        <w:rPr>
          <w:i/>
          <w:iCs/>
        </w:rPr>
        <w:t xml:space="preserve">et al.</w:t>
      </w:r>
      <w:r>
        <w:t xml:space="preserve">,</w:t>
      </w:r>
      <w:r>
        <w:t xml:space="preserve"> </w:t>
      </w:r>
      <w:r>
        <w:t xml:space="preserve">“Graph retrieval-augmented generation: A survey,”</w:t>
      </w:r>
      <w:r>
        <w:t xml:space="preserve"> </w:t>
      </w:r>
      <w:r>
        <w:rPr>
          <w:i/>
          <w:iCs/>
        </w:rPr>
        <w:t xml:space="preserve">ACM Trans. Inf. Syst.</w:t>
      </w:r>
      <w:r>
        <w:t xml:space="preserve">, Aug. 2024, doi:</w:t>
      </w:r>
      <w:r>
        <w:t xml:space="preserve"> </w:t>
      </w:r>
      <w:hyperlink r:id="rId22">
        <w:r>
          <w:rPr>
            <w:rStyle w:val="Hyperlink"/>
          </w:rPr>
          <w:t xml:space="preserve">10.1145/3777378</w:t>
        </w:r>
      </w:hyperlink>
      <w:r>
        <w:t xml:space="preserve">.</w:t>
      </w:r>
    </w:p>
    <w:p>
      <w:pPr>
        <w:pStyle w:val="BodyText"/>
      </w:pPr>
      <w:r>
        <w:t xml:space="preserve">[15]</w:t>
      </w:r>
      <w:r>
        <w:t xml:space="preserve"> </w:t>
      </w:r>
      <w:r>
        <w:t xml:space="preserve">	</w:t>
      </w:r>
      <w:r>
        <w:t xml:space="preserve">S. Chen</w:t>
      </w:r>
      <w:r>
        <w:t xml:space="preserve"> </w:t>
      </w:r>
      <w:r>
        <w:rPr>
          <w:i/>
          <w:iCs/>
        </w:rPr>
        <w:t xml:space="preserve">et al.</w:t>
      </w:r>
      <w:r>
        <w:t xml:space="preserve">,</w:t>
      </w:r>
      <w:r>
        <w:t xml:space="preserve"> </w:t>
      </w:r>
      <w:r>
        <w:t xml:space="preserve">“You don”t need pre-built graphs for RAG: Retrieval augmented generation with adaptive reasoning structures,”</w:t>
      </w:r>
      <w:r>
        <w:t xml:space="preserve"> </w:t>
      </w:r>
      <w:r>
        <w:rPr>
          <w:i/>
          <w:iCs/>
        </w:rPr>
        <w:t xml:space="preserve">AAAI Conference on Artificial Intelligence</w:t>
      </w:r>
      <w:r>
        <w:t xml:space="preserve">, Aug. 2025, doi:</w:t>
      </w:r>
      <w:r>
        <w:t xml:space="preserve"> </w:t>
      </w:r>
      <w:hyperlink r:id="rId23">
        <w:r>
          <w:rPr>
            <w:rStyle w:val="Hyperlink"/>
          </w:rPr>
          <w:t xml:space="preserve">10.48550/arXiv.2508.06105</w:t>
        </w:r>
      </w:hyperlink>
      <w:r>
        <w:t xml:space="preserve">.</w:t>
      </w:r>
    </w:p>
    <w:p>
      <w:pPr>
        <w:pStyle w:val="BodyText"/>
      </w:pPr>
      <w:r>
        <w:t xml:space="preserve">[16]</w:t>
      </w:r>
      <w:r>
        <w:t xml:space="preserve"> </w:t>
      </w:r>
      <w:r>
        <w:t xml:space="preserve">	</w:t>
      </w:r>
      <w:r>
        <w:t xml:space="preserve">A. Akhil</w:t>
      </w:r>
      <w:r>
        <w:t xml:space="preserve"> </w:t>
      </w:r>
      <w:r>
        <w:rPr>
          <w:i/>
          <w:iCs/>
        </w:rPr>
        <w:t xml:space="preserve">et al.</w:t>
      </w:r>
      <w:r>
        <w:t xml:space="preserve">,</w:t>
      </w:r>
      <w:r>
        <w:t xml:space="preserve"> </w:t>
      </w:r>
      <w:r>
        <w:t xml:space="preserve">“RAG-x: Density-adaptive path sampling for enhanced knowledge graph-based retrieval augmented generation,”</w:t>
      </w:r>
      <w:r>
        <w:t xml:space="preserve"> </w:t>
      </w:r>
      <w:r>
        <w:rPr>
          <w:i/>
          <w:iCs/>
        </w:rPr>
        <w:t xml:space="preserve">2025 International Conference on Signal Processing, Computation, Electronics, Power and Telecommunication (IConSCEPT)</w:t>
      </w:r>
      <w:r>
        <w:t xml:space="preserve">, Dec. 2025, doi:</w:t>
      </w:r>
      <w:r>
        <w:t xml:space="preserve"> </w:t>
      </w:r>
      <w:hyperlink r:id="rId24">
        <w:r>
          <w:rPr>
            <w:rStyle w:val="Hyperlink"/>
          </w:rPr>
          <w:t xml:space="preserve">10.1109/IConSCEPT66142.2025.11437293</w:t>
        </w:r>
      </w:hyperlink>
      <w:r>
        <w:t xml:space="preserve">.</w:t>
      </w:r>
    </w:p>
    <w:p>
      <w:pPr>
        <w:pStyle w:val="BodyText"/>
      </w:pPr>
      <w:r>
        <w:t xml:space="preserve">[17]</w:t>
      </w:r>
      <w:r>
        <w:t xml:space="preserve"> </w:t>
      </w:r>
      <w:r>
        <w:t xml:space="preserve">	</w:t>
      </w:r>
      <w:r>
        <w:t xml:space="preserve">H. Zhang</w:t>
      </w:r>
      <w:r>
        <w:t xml:space="preserve"> </w:t>
      </w:r>
      <w:r>
        <w:rPr>
          <w:i/>
          <w:iCs/>
        </w:rPr>
        <w:t xml:space="preserve">et al.</w:t>
      </w:r>
      <w:r>
        <w:t xml:space="preserve">,</w:t>
      </w:r>
      <w:r>
        <w:t xml:space="preserve"> </w:t>
      </w:r>
      <w:r>
        <w:t xml:space="preserve">“RAKG:document-level retrieval augmented knowledge graph construction,”</w:t>
      </w:r>
      <w:r>
        <w:t xml:space="preserve"> </w:t>
      </w:r>
      <w:r>
        <w:rPr>
          <w:i/>
          <w:iCs/>
        </w:rPr>
        <w:t xml:space="preserve">arXiv.org</w:t>
      </w:r>
      <w:r>
        <w:t xml:space="preserve">, Apr. 2025, doi:</w:t>
      </w:r>
      <w:r>
        <w:t xml:space="preserve"> </w:t>
      </w:r>
      <w:hyperlink r:id="rId25">
        <w:r>
          <w:rPr>
            <w:rStyle w:val="Hyperlink"/>
          </w:rPr>
          <w:t xml:space="preserve">10.48550/arXiv.2504.09823</w:t>
        </w:r>
      </w:hyperlink>
      <w:r>
        <w:t xml:space="preserve">.</w:t>
      </w:r>
    </w:p>
    <w:p>
      <w:pPr>
        <w:pStyle w:val="BodyText"/>
      </w:pPr>
      <w:r>
        <w:t xml:space="preserve">[18]</w:t>
      </w:r>
      <w:r>
        <w:t xml:space="preserve"> </w:t>
      </w:r>
      <w:r>
        <w:t xml:space="preserve">	</w:t>
      </w:r>
      <w:r>
        <w:t xml:space="preserve">L. Zhuang</w:t>
      </w:r>
      <w:r>
        <w:t xml:space="preserve"> </w:t>
      </w:r>
      <w:r>
        <w:rPr>
          <w:i/>
          <w:iCs/>
        </w:rPr>
        <w:t xml:space="preserve">et al.</w:t>
      </w:r>
      <w:r>
        <w:t xml:space="preserve">,</w:t>
      </w:r>
      <w:r>
        <w:t xml:space="preserve"> </w:t>
      </w:r>
      <w:r>
        <w:t xml:space="preserve">“LinearRAG: Linear graph retrieval augmented generation on large-scale corpora,”</w:t>
      </w:r>
      <w:r>
        <w:t xml:space="preserve"> </w:t>
      </w:r>
      <w:r>
        <w:rPr>
          <w:i/>
          <w:iCs/>
        </w:rPr>
        <w:t xml:space="preserve">arXiv.org</w:t>
      </w:r>
      <w:r>
        <w:t xml:space="preserve">, Oct. 2025, doi:</w:t>
      </w:r>
      <w:r>
        <w:t xml:space="preserve"> </w:t>
      </w:r>
      <w:hyperlink r:id="rId26">
        <w:r>
          <w:rPr>
            <w:rStyle w:val="Hyperlink"/>
          </w:rPr>
          <w:t xml:space="preserve">10.48550/arXiv.2510.10114</w:t>
        </w:r>
      </w:hyperlink>
      <w:r>
        <w:t xml:space="preserve">.</w:t>
      </w:r>
    </w:p>
    <w:p>
      <w:pPr>
        <w:pStyle w:val="BodyText"/>
      </w:pPr>
      <w:r>
        <w:t xml:space="preserve">[19]</w:t>
      </w:r>
      <w:r>
        <w:t xml:space="preserve"> </w:t>
      </w:r>
      <w:r>
        <w:t xml:space="preserve">	</w:t>
      </w:r>
      <w:r>
        <w:t xml:space="preserve">S. Li</w:t>
      </w:r>
      <w:r>
        <w:t xml:space="preserve"> </w:t>
      </w:r>
      <w:r>
        <w:rPr>
          <w:i/>
          <w:iCs/>
        </w:rPr>
        <w:t xml:space="preserve">et al.</w:t>
      </w:r>
      <w:r>
        <w:t xml:space="preserve">,</w:t>
      </w:r>
      <w:r>
        <w:t xml:space="preserve"> </w:t>
      </w:r>
      <w:r>
        <w:t xml:space="preserve">“Detecting hallucinations in graph retrieval-augmented generation via attention patterns and semantic alignment,”</w:t>
      </w:r>
      <w:r>
        <w:t xml:space="preserve"> </w:t>
      </w:r>
      <w:r>
        <w:rPr>
          <w:i/>
          <w:iCs/>
        </w:rPr>
        <w:t xml:space="preserve">arXiv.org</w:t>
      </w:r>
      <w:r>
        <w:t xml:space="preserve">, Dec. 2025, doi:</w:t>
      </w:r>
      <w:r>
        <w:t xml:space="preserve"> </w:t>
      </w:r>
      <w:hyperlink r:id="rId27">
        <w:r>
          <w:rPr>
            <w:rStyle w:val="Hyperlink"/>
          </w:rPr>
          <w:t xml:space="preserve">10.48550/arXiv.2512.09148</w:t>
        </w:r>
      </w:hyperlink>
      <w:r>
        <w:t xml:space="preserve">.</w:t>
      </w:r>
    </w:p>
    <w:p>
      <w:pPr>
        <w:pStyle w:val="BodyText"/>
      </w:pPr>
      <w:r>
        <w:t xml:space="preserve">[20]</w:t>
      </w:r>
      <w:r>
        <w:t xml:space="preserve"> </w:t>
      </w:r>
      <w:r>
        <w:t xml:space="preserve">	</w:t>
      </w:r>
      <w:r>
        <w:t xml:space="preserve">H. Feng, Y. Yin, E. Reynares, and J. Nanavati,</w:t>
      </w:r>
      <w:r>
        <w:t xml:space="preserve"> </w:t>
      </w:r>
      <w:r>
        <w:t xml:space="preserve">“OntologyRAG: Better and faster biomedical code mapping with retrieval-augmented generation (RAG) leveraging ontology knowledge graphs and large language models,”</w:t>
      </w:r>
      <w:r>
        <w:t xml:space="preserve"> </w:t>
      </w:r>
      <w:r>
        <w:rPr>
          <w:i/>
          <w:iCs/>
        </w:rPr>
        <w:t xml:space="preserve">KEIR</w:t>
      </w:r>
      <w:r>
        <w:t xml:space="preserve">, Feb. 2025, doi:</w:t>
      </w:r>
      <w:r>
        <w:t xml:space="preserve"> </w:t>
      </w:r>
      <w:hyperlink r:id="rId28">
        <w:r>
          <w:rPr>
            <w:rStyle w:val="Hyperlink"/>
          </w:rPr>
          <w:t xml:space="preserve">10.48550/arXiv.2502.18992</w:t>
        </w:r>
      </w:hyperlink>
      <w:r>
        <w:t xml:space="preserve">.</w:t>
      </w:r>
    </w:p>
    <w:p>
      <w:pPr>
        <w:pStyle w:val="BodyText"/>
      </w:pPr>
      <w:r>
        <w:t xml:space="preserve">[21]</w:t>
      </w:r>
      <w:r>
        <w:t xml:space="preserve"> </w:t>
      </w:r>
      <w:r>
        <w:t xml:space="preserve">	</w:t>
      </w:r>
      <w:r>
        <w:t xml:space="preserve">U. Chintam,</w:t>
      </w:r>
      <w:r>
        <w:t xml:space="preserve"> </w:t>
      </w:r>
      <w:r>
        <w:t xml:space="preserve">“Generative AI–driven semantic integration architecture for SAP cloud and hybrid landscapes,”</w:t>
      </w:r>
      <w:r>
        <w:t xml:space="preserve"> </w:t>
      </w:r>
      <w:r>
        <w:rPr>
          <w:i/>
          <w:iCs/>
        </w:rPr>
        <w:t xml:space="preserve">Computer fraud &amp; security</w:t>
      </w:r>
      <w:r>
        <w:t xml:space="preserve">, Mar. 2026, doi:</w:t>
      </w:r>
      <w:r>
        <w:t xml:space="preserve"> </w:t>
      </w:r>
      <w:hyperlink r:id="rId29">
        <w:r>
          <w:rPr>
            <w:rStyle w:val="Hyperlink"/>
          </w:rPr>
          <w:t xml:space="preserve">10.52710/cfs.1008</w:t>
        </w:r>
      </w:hyperlink>
      <w:r>
        <w:t xml:space="preserve">.</w:t>
      </w:r>
    </w:p>
    <w:p>
      <w:pPr>
        <w:pStyle w:val="BodyText"/>
      </w:pPr>
      <w:r>
        <w:t xml:space="preserve">[22]</w:t>
      </w:r>
      <w:r>
        <w:t xml:space="preserve"> </w:t>
      </w:r>
      <w:r>
        <w:t xml:space="preserve">	</w:t>
      </w:r>
      <w:r>
        <w:t xml:space="preserve">N. Yamasani,</w:t>
      </w:r>
      <w:r>
        <w:t xml:space="preserve"> </w:t>
      </w:r>
      <w:r>
        <w:t xml:space="preserve">“Building trusted and intelligent enterprise stewardship systems through cognitive MDM architectures with explainable large language models, autonomous governance automation, and semantic workflow intelligence,”</w:t>
      </w:r>
      <w:r>
        <w:t xml:space="preserve"> </w:t>
      </w:r>
      <w:r>
        <w:rPr>
          <w:i/>
          <w:iCs/>
        </w:rPr>
        <w:t xml:space="preserve">International Journal of Scientific Research in Computer Science Engineering and Information Technology</w:t>
      </w:r>
      <w:r>
        <w:t xml:space="preserve">, Apr. 2026, doi:</w:t>
      </w:r>
      <w:r>
        <w:t xml:space="preserve"> </w:t>
      </w:r>
      <w:hyperlink r:id="rId30">
        <w:r>
          <w:rPr>
            <w:rStyle w:val="Hyperlink"/>
          </w:rPr>
          <w:t xml:space="preserve">10.32628/cseit26123316</w:t>
        </w:r>
      </w:hyperlink>
      <w:r>
        <w:t xml:space="preserve">.</w:t>
      </w:r>
    </w:p>
    <w:p>
      <w:pPr>
        <w:pStyle w:val="BodyText"/>
      </w:pPr>
      <w:r>
        <w:t xml:space="preserve">[23]</w:t>
      </w:r>
      <w:r>
        <w:t xml:space="preserve"> </w:t>
      </w:r>
      <w:r>
        <w:t xml:space="preserve">	</w:t>
      </w:r>
      <w:r>
        <w:t xml:space="preserve">W. Tao, X. Li, Y. Lan, and W. Qian,</w:t>
      </w:r>
      <w:r>
        <w:t xml:space="preserve"> </w:t>
      </w:r>
      <w:r>
        <w:t xml:space="preserve">“TagRAG: Tag-guided hierarchical knowledge graph retrieval-augmented generation,”</w:t>
      </w:r>
      <w:r>
        <w:t xml:space="preserve"> </w:t>
      </w:r>
      <w:r>
        <w:rPr>
          <w:i/>
          <w:iCs/>
        </w:rPr>
        <w:t xml:space="preserve">arXiv.org</w:t>
      </w:r>
      <w:r>
        <w:t xml:space="preserve">, Oct. 2025, doi:</w:t>
      </w:r>
      <w:r>
        <w:t xml:space="preserve"> </w:t>
      </w:r>
      <w:hyperlink r:id="rId31">
        <w:r>
          <w:rPr>
            <w:rStyle w:val="Hyperlink"/>
          </w:rPr>
          <w:t xml:space="preserve">10.48550/arXiv.2601.05254</w:t>
        </w:r>
      </w:hyperlink>
      <w:r>
        <w:t xml:space="preserve">.</w:t>
      </w:r>
    </w:p>
    <w:p>
      <w:pPr>
        <w:pStyle w:val="BodyText"/>
      </w:pPr>
      <w:r>
        <w:t xml:space="preserve">[24]</w:t>
      </w:r>
      <w:r>
        <w:t xml:space="preserve"> </w:t>
      </w:r>
      <w:r>
        <w:t xml:space="preserve">	</w:t>
      </w:r>
      <w:r>
        <w:t xml:space="preserve">C. Yu</w:t>
      </w:r>
      <w:r>
        <w:t xml:space="preserve"> </w:t>
      </w:r>
      <w:r>
        <w:rPr>
          <w:i/>
          <w:iCs/>
        </w:rPr>
        <w:t xml:space="preserve">et al.</w:t>
      </w:r>
      <w:r>
        <w:t xml:space="preserve">,</w:t>
      </w:r>
      <w:r>
        <w:t xml:space="preserve"> </w:t>
      </w:r>
      <w:r>
        <w:t xml:space="preserve">“GraphRAG-R1: Graph retrieval-augmented generation with process-constrained reinforcement learning,”</w:t>
      </w:r>
      <w:r>
        <w:t xml:space="preserve"> </w:t>
      </w:r>
      <w:r>
        <w:rPr>
          <w:i/>
          <w:iCs/>
        </w:rPr>
        <w:t xml:space="preserve">Proceedings of the ACM Web Conference 2026</w:t>
      </w:r>
      <w:r>
        <w:t xml:space="preserve">, July 2025, doi:</w:t>
      </w:r>
      <w:r>
        <w:t xml:space="preserve"> </w:t>
      </w:r>
      <w:hyperlink r:id="rId32">
        <w:r>
          <w:rPr>
            <w:rStyle w:val="Hyperlink"/>
          </w:rPr>
          <w:t xml:space="preserve">10.1145/3774904.3792589</w:t>
        </w:r>
      </w:hyperlink>
      <w:r>
        <w:t xml:space="preserve">.</w:t>
      </w:r>
    </w:p>
    <w:p>
      <w:pPr>
        <w:pStyle w:val="BodyText"/>
      </w:pPr>
      <w:r>
        <w:t xml:space="preserve">[25]</w:t>
      </w:r>
      <w:r>
        <w:t xml:space="preserve"> </w:t>
      </w:r>
      <w:r>
        <w:t xml:space="preserve">	</w:t>
      </w:r>
      <w:r>
        <w:t xml:space="preserve">H. Verma,</w:t>
      </w:r>
      <w:r>
        <w:t xml:space="preserve"> </w:t>
      </w:r>
      <w:r>
        <w:t xml:space="preserve">“Autonomous multi-agent systems for enterprise decision-making,”</w:t>
      </w:r>
      <w:r>
        <w:t xml:space="preserve"> </w:t>
      </w:r>
      <w:r>
        <w:rPr>
          <w:i/>
          <w:iCs/>
        </w:rPr>
        <w:t xml:space="preserve">International Journal of Engineering &amp;amp; Extended Technologies Research</w:t>
      </w:r>
      <w:r>
        <w:t xml:space="preserve">, Apr. 2024, doi:</w:t>
      </w:r>
      <w:r>
        <w:t xml:space="preserve"> </w:t>
      </w:r>
      <w:hyperlink r:id="rId33">
        <w:r>
          <w:rPr>
            <w:rStyle w:val="Hyperlink"/>
          </w:rPr>
          <w:t xml:space="preserve">10.15662/ijeetr.2024.0605021</w:t>
        </w:r>
      </w:hyperlink>
      <w:r>
        <w:t xml:space="preserve">.</w:t>
      </w:r>
    </w:p>
    <w:p>
      <w:pPr>
        <w:pStyle w:val="BodyText"/>
      </w:pPr>
      <w:r>
        <w:t xml:space="preserve">[26]</w:t>
      </w:r>
      <w:r>
        <w:t xml:space="preserve"> </w:t>
      </w:r>
      <w:r>
        <w:t xml:space="preserve">	</w:t>
      </w:r>
      <w:r>
        <w:t xml:space="preserve">A. M. Ogunmolu, A. D. Popoola, O. Z. Adesokan, A. A. Abdulmalik, and S. A. Joseph,</w:t>
      </w:r>
      <w:r>
        <w:t xml:space="preserve"> </w:t>
      </w:r>
      <w:r>
        <w:t xml:space="preserve">“Runtime policy orchestration for autonomous industrial control and smart manufacturing systems: A unified framework for governance, compliance, and adaptive resilience,”</w:t>
      </w:r>
      <w:r>
        <w:t xml:space="preserve"> </w:t>
      </w:r>
      <w:r>
        <w:rPr>
          <w:i/>
          <w:iCs/>
        </w:rPr>
        <w:t xml:space="preserve">Journal of Engineering Research and Reports</w:t>
      </w:r>
      <w:r>
        <w:t xml:space="preserve">, Apr. 2026, doi:</w:t>
      </w:r>
      <w:r>
        <w:t xml:space="preserve"> </w:t>
      </w:r>
      <w:hyperlink r:id="rId34">
        <w:r>
          <w:rPr>
            <w:rStyle w:val="Hyperlink"/>
          </w:rPr>
          <w:t xml:space="preserve">10.9734/jerr/2026/v28i41862</w:t>
        </w:r>
      </w:hyperlink>
      <w:r>
        <w:t xml:space="preserve">.</w:t>
      </w:r>
    </w:p>
    <w:p>
      <w:pPr>
        <w:pStyle w:val="BodyText"/>
      </w:pPr>
      <w:r>
        <w:t xml:space="preserve">[27]</w:t>
      </w:r>
      <w:r>
        <w:t xml:space="preserve"> </w:t>
      </w:r>
      <w:r>
        <w:t xml:space="preserve">	</w:t>
      </w:r>
      <w:r>
        <w:t xml:space="preserve">H. Singh and S. R. Katragadda,</w:t>
      </w:r>
      <w:r>
        <w:t xml:space="preserve"> </w:t>
      </w:r>
      <w:r>
        <w:t xml:space="preserve">“Self-regulating AI agents: A runtime constitutional framework for autonomous decision systems in cloud-native environments,”</w:t>
      </w:r>
      <w:r>
        <w:t xml:space="preserve"> </w:t>
      </w:r>
      <w:r>
        <w:rPr>
          <w:i/>
          <w:iCs/>
        </w:rPr>
        <w:t xml:space="preserve">Journal of Computer Science and Technology Studies</w:t>
      </w:r>
      <w:r>
        <w:t xml:space="preserve">, Feb. 2026, doi:</w:t>
      </w:r>
      <w:r>
        <w:t xml:space="preserve"> </w:t>
      </w:r>
      <w:hyperlink r:id="rId35">
        <w:r>
          <w:rPr>
            <w:rStyle w:val="Hyperlink"/>
          </w:rPr>
          <w:t xml:space="preserve">10.32996/jcsts.2026.8.4.3</w:t>
        </w:r>
      </w:hyperlink>
      <w:r>
        <w:t xml:space="preserve">.</w:t>
      </w:r>
    </w:p>
    <w:p>
      <w:pPr>
        <w:pStyle w:val="BodyText"/>
      </w:pPr>
      <w:r>
        <w:t xml:space="preserve">[28]</w:t>
      </w:r>
      <w:r>
        <w:t xml:space="preserve"> </w:t>
      </w:r>
      <w:r>
        <w:t xml:space="preserve">	</w:t>
      </w:r>
      <w:r>
        <w:t xml:space="preserve">S. Desai,</w:t>
      </w:r>
      <w:r>
        <w:t xml:space="preserve"> </w:t>
      </w:r>
      <w:r>
        <w:t xml:space="preserve">“The seven pillars of agentic AI implementation in enterprise systems,”</w:t>
      </w:r>
      <w:r>
        <w:t xml:space="preserve"> </w:t>
      </w:r>
      <w:r>
        <w:rPr>
          <w:i/>
          <w:iCs/>
        </w:rPr>
        <w:t xml:space="preserve">Journal of Information Systems Engineering &amp; Management</w:t>
      </w:r>
      <w:r>
        <w:t xml:space="preserve">, Nov. 2025, doi:</w:t>
      </w:r>
      <w:r>
        <w:t xml:space="preserve"> </w:t>
      </w:r>
      <w:hyperlink r:id="rId36">
        <w:r>
          <w:rPr>
            <w:rStyle w:val="Hyperlink"/>
          </w:rPr>
          <w:t xml:space="preserve">10.52783/jisem.v10i62s.13565</w:t>
        </w:r>
      </w:hyperlink>
      <w:r>
        <w:t xml:space="preserve">.</w:t>
      </w:r>
    </w:p>
    <w:p>
      <w:pPr>
        <w:pStyle w:val="BodyText"/>
      </w:pPr>
      <w:r>
        <w:t xml:space="preserve">[29]</w:t>
      </w:r>
      <w:r>
        <w:t xml:space="preserve"> </w:t>
      </w:r>
      <w:r>
        <w:t xml:space="preserve">	</w:t>
      </w:r>
      <w:r>
        <w:t xml:space="preserve">E. Levi, S. Kordova, and M. Tahan,</w:t>
      </w:r>
      <w:r>
        <w:t xml:space="preserve"> </w:t>
      </w:r>
      <w:r>
        <w:t xml:space="preserve">“Digital twin integration for enhancing robotic fastening systems in industrial automation,”</w:t>
      </w:r>
      <w:r>
        <w:t xml:space="preserve"> </w:t>
      </w:r>
      <w:r>
        <w:rPr>
          <w:i/>
          <w:iCs/>
        </w:rPr>
        <w:t xml:space="preserve">Systems</w:t>
      </w:r>
      <w:r>
        <w:t xml:space="preserve">, Mar. 2026, doi:</w:t>
      </w:r>
      <w:r>
        <w:t xml:space="preserve"> </w:t>
      </w:r>
      <w:hyperlink r:id="rId37">
        <w:r>
          <w:rPr>
            <w:rStyle w:val="Hyperlink"/>
          </w:rPr>
          <w:t xml:space="preserve">10.3390/systems14040372</w:t>
        </w:r>
      </w:hyperlink>
      <w:r>
        <w:t xml:space="preserve">.</w:t>
      </w:r>
    </w:p>
    <w:p>
      <w:pPr>
        <w:pStyle w:val="BodyText"/>
      </w:pPr>
      <w:r>
        <w:t xml:space="preserve">[30]</w:t>
      </w:r>
      <w:r>
        <w:t xml:space="preserve"> </w:t>
      </w:r>
      <w:r>
        <w:t xml:space="preserve">	</w:t>
      </w:r>
      <w:r>
        <w:t xml:space="preserve">M. Smati, V. Cheutet, C. Danjou, and J. Laval,</w:t>
      </w:r>
      <w:r>
        <w:t xml:space="preserve"> </w:t>
      </w:r>
      <w:r>
        <w:t xml:space="preserve">“Digital twin system of systems: A layered architecture proposal,”</w:t>
      </w:r>
      <w:r>
        <w:t xml:space="preserve"> </w:t>
      </w:r>
      <w:r>
        <w:rPr>
          <w:i/>
          <w:iCs/>
        </w:rPr>
        <w:t xml:space="preserve">International Conference on Model-Driven Engineering and Software Development</w:t>
      </w:r>
      <w:r>
        <w:t xml:space="preserve">, 2025, doi:</w:t>
      </w:r>
      <w:r>
        <w:t xml:space="preserve"> </w:t>
      </w:r>
      <w:hyperlink r:id="rId38">
        <w:r>
          <w:rPr>
            <w:rStyle w:val="Hyperlink"/>
          </w:rPr>
          <w:t xml:space="preserve">10.5220/0013258400003896</w:t>
        </w:r>
      </w:hyperlink>
      <w:r>
        <w:t xml:space="preserve">.</w:t>
      </w:r>
    </w:p>
    <w:p>
      <w:pPr>
        <w:pStyle w:val="BodyText"/>
      </w:pPr>
      <w:r>
        <w:t xml:space="preserve">[31]</w:t>
      </w:r>
      <w:r>
        <w:t xml:space="preserve"> </w:t>
      </w:r>
      <w:r>
        <w:t xml:space="preserve">	</w:t>
      </w:r>
      <w:r>
        <w:t xml:space="preserve">R. G. Jayalalithaa, V. Chandrasekar, and W. Brooks,</w:t>
      </w:r>
      <w:r>
        <w:t xml:space="preserve"> </w:t>
      </w:r>
      <w:r>
        <w:t xml:space="preserve">“Model-based systems engineering: Digital shadow for the advanced quantitative precipitation information system monitoring framework,”</w:t>
      </w:r>
      <w:r>
        <w:t xml:space="preserve"> </w:t>
      </w:r>
      <w:r>
        <w:rPr>
          <w:i/>
          <w:iCs/>
        </w:rPr>
        <w:t xml:space="preserve">IEEE Systems Conference</w:t>
      </w:r>
      <w:r>
        <w:t xml:space="preserve">, Apr. 2026, doi:</w:t>
      </w:r>
      <w:r>
        <w:t xml:space="preserve"> </w:t>
      </w:r>
      <w:hyperlink r:id="rId39">
        <w:r>
          <w:rPr>
            <w:rStyle w:val="Hyperlink"/>
          </w:rPr>
          <w:t xml:space="preserve">10.1109/SysCon66367.2026.11503490</w:t>
        </w:r>
      </w:hyperlink>
      <w:r>
        <w:t xml:space="preserve">.</w:t>
      </w:r>
    </w:p>
    <w:p>
      <w:pPr>
        <w:pStyle w:val="BodyText"/>
      </w:pPr>
      <w:r>
        <w:t xml:space="preserve">[32]</w:t>
      </w:r>
      <w:r>
        <w:t xml:space="preserve"> </w:t>
      </w:r>
      <w:r>
        <w:t xml:space="preserve">	</w:t>
      </w:r>
      <w:r>
        <w:t xml:space="preserve">J. Lu, Y. Zhaorui, X. Zheng, J. Wang, and D. Kiritsis,</w:t>
      </w:r>
      <w:r>
        <w:t xml:space="preserve"> </w:t>
      </w:r>
      <w:r>
        <w:t xml:space="preserve">“Exploring the concept of cognitive digital twin from model-based systems engineering perspective,”</w:t>
      </w:r>
      <w:r>
        <w:t xml:space="preserve"> </w:t>
      </w:r>
      <w:r>
        <w:rPr>
          <w:i/>
          <w:iCs/>
        </w:rPr>
        <w:t xml:space="preserve">The International Journal of Advanced Manufacturing Technology</w:t>
      </w:r>
      <w:r>
        <w:t xml:space="preserve">, July 2022, doi:</w:t>
      </w:r>
      <w:r>
        <w:t xml:space="preserve"> </w:t>
      </w:r>
      <w:hyperlink r:id="rId40">
        <w:r>
          <w:rPr>
            <w:rStyle w:val="Hyperlink"/>
          </w:rPr>
          <w:t xml:space="preserve">https://doi.org/10.1007/s00170-022-09610-5</w:t>
        </w:r>
      </w:hyperlink>
      <w:r>
        <w:t xml:space="preserve">.</w:t>
      </w:r>
    </w:p>
    <w:p>
      <w:pPr>
        <w:pStyle w:val="BodyText"/>
      </w:pPr>
      <w:r>
        <w:t xml:space="preserve">[33]</w:t>
      </w:r>
      <w:r>
        <w:t xml:space="preserve"> </w:t>
      </w:r>
      <w:r>
        <w:t xml:space="preserve">	</w:t>
      </w:r>
      <w:r>
        <w:t xml:space="preserve">R. Selvi,</w:t>
      </w:r>
      <w:r>
        <w:t xml:space="preserve"> </w:t>
      </w:r>
      <w:r>
        <w:t xml:space="preserve">“Next-generation digital process twin framework for autonomous &amp; predictive decision intelligence,”</w:t>
      </w:r>
      <w:r>
        <w:t xml:space="preserve"> </w:t>
      </w:r>
      <w:r>
        <w:rPr>
          <w:i/>
          <w:iCs/>
        </w:rPr>
        <w:t xml:space="preserve">International Journal for Research in Applied Science and Engineering Technology</w:t>
      </w:r>
      <w:r>
        <w:t xml:space="preserve">, Mar. 2026, doi:</w:t>
      </w:r>
      <w:r>
        <w:t xml:space="preserve"> </w:t>
      </w:r>
      <w:hyperlink r:id="rId41">
        <w:r>
          <w:rPr>
            <w:rStyle w:val="Hyperlink"/>
          </w:rPr>
          <w:t xml:space="preserve">10.22214/ijraset.2026.77839</w:t>
        </w:r>
      </w:hyperlink>
      <w:r>
        <w:t xml:space="preserve">.</w:t>
      </w:r>
    </w:p>
    <w:p>
      <w:pPr>
        <w:pStyle w:val="BodyText"/>
      </w:pPr>
      <w:r>
        <w:t xml:space="preserve">[34]</w:t>
      </w:r>
      <w:r>
        <w:t xml:space="preserve"> </w:t>
      </w:r>
      <w:r>
        <w:t xml:space="preserve">	</w:t>
      </w:r>
      <w:r>
        <w:t xml:space="preserve">J. Martinez, I. Bouhali, Y. Sylla, and L. Palladino,</w:t>
      </w:r>
      <w:r>
        <w:t xml:space="preserve"> </w:t>
      </w:r>
      <w:r>
        <w:t xml:space="preserve">“Model-in-the-loop tests bench as an efficient means for digital transition: From descriptive to simulated model-based systems engineering and model-based safety assessment,”</w:t>
      </w:r>
      <w:r>
        <w:t xml:space="preserve"> </w:t>
      </w:r>
      <w:r>
        <w:rPr>
          <w:i/>
          <w:iCs/>
        </w:rPr>
        <w:t xml:space="preserve">IEEE Systems Conference</w:t>
      </w:r>
      <w:r>
        <w:t xml:space="preserve">, Apr. 2025, doi:</w:t>
      </w:r>
      <w:r>
        <w:t xml:space="preserve"> </w:t>
      </w:r>
      <w:hyperlink r:id="rId42">
        <w:r>
          <w:rPr>
            <w:rStyle w:val="Hyperlink"/>
          </w:rPr>
          <w:t xml:space="preserve">10.1109/SysCon64521.2025.11014849</w:t>
        </w:r>
      </w:hyperlink>
      <w:r>
        <w:t xml:space="preserve">.</w:t>
      </w:r>
    </w:p>
    <w:p>
      <w:pPr>
        <w:pStyle w:val="BodyText"/>
      </w:pPr>
      <w:r>
        <w:t xml:space="preserve">[35]</w:t>
      </w:r>
      <w:r>
        <w:t xml:space="preserve"> </w:t>
      </w:r>
      <w:r>
        <w:t xml:space="preserve">	</w:t>
      </w:r>
      <w:r>
        <w:t xml:space="preserve">U. Yayan,</w:t>
      </w:r>
      <w:r>
        <w:t xml:space="preserve"> </w:t>
      </w:r>
      <w:r>
        <w:t xml:space="preserve">“A federated supply chain digital twin architecture: Signal-based ripple effect simulation using model-based systems engineering,”</w:t>
      </w:r>
      <w:r>
        <w:t xml:space="preserve"> </w:t>
      </w:r>
      <w:r>
        <w:rPr>
          <w:i/>
          <w:iCs/>
        </w:rPr>
        <w:t xml:space="preserve">IEEE Access</w:t>
      </w:r>
      <w:r>
        <w:t xml:space="preserve">, 2026, doi:</w:t>
      </w:r>
      <w:r>
        <w:t xml:space="preserve"> </w:t>
      </w:r>
      <w:hyperlink r:id="rId43">
        <w:r>
          <w:rPr>
            <w:rStyle w:val="Hyperlink"/>
          </w:rPr>
          <w:t xml:space="preserve">10.1109/ACCESS.2026.3691943</w:t>
        </w:r>
      </w:hyperlink>
      <w:r>
        <w:t xml:space="preserve">.</w:t>
      </w:r>
    </w:p>
    <w:p>
      <w:pPr>
        <w:pStyle w:val="BodyText"/>
      </w:pPr>
      <w:r>
        <w:t xml:space="preserve">[36]</w:t>
      </w:r>
      <w:r>
        <w:t xml:space="preserve"> </w:t>
      </w:r>
      <w:r>
        <w:t xml:space="preserve">	</w:t>
      </w:r>
      <w:r>
        <w:t xml:space="preserve">Q. Na, H. Jia, X. Li, P. Zang, H. Zhang, and Y. Yang,</w:t>
      </w:r>
      <w:r>
        <w:t xml:space="preserve"> </w:t>
      </w:r>
      <w:r>
        <w:t xml:space="preserve">“Cloud-edge collaborative digital twin platform for intelligent management of renewable energy systems,”</w:t>
      </w:r>
      <w:r>
        <w:t xml:space="preserve"> </w:t>
      </w:r>
      <w:r>
        <w:rPr>
          <w:i/>
          <w:iCs/>
        </w:rPr>
        <w:t xml:space="preserve">2025 5th International Conference on New Energy and Power Engineering (ICNEPE)</w:t>
      </w:r>
      <w:r>
        <w:t xml:space="preserve">, Nov. 2025, doi:</w:t>
      </w:r>
      <w:r>
        <w:t xml:space="preserve"> </w:t>
      </w:r>
      <w:hyperlink r:id="rId44">
        <w:r>
          <w:rPr>
            <w:rStyle w:val="Hyperlink"/>
          </w:rPr>
          <w:t xml:space="preserve">10.1109/ICNEPE67923.2025.11384503</w:t>
        </w:r>
      </w:hyperlink>
      <w:r>
        <w:t xml:space="preserve">.</w:t>
      </w:r>
    </w:p>
    <w:p>
      <w:pPr>
        <w:pStyle w:val="BodyText"/>
      </w:pPr>
      <w:r>
        <w:t xml:space="preserve">[37]</w:t>
      </w:r>
      <w:r>
        <w:t xml:space="preserve"> </w:t>
      </w:r>
      <w:r>
        <w:t xml:space="preserve">	</w:t>
      </w:r>
      <w:r>
        <w:t xml:space="preserve">J. Cederbladh, A. Cicchetti, and J. Suryadevara,</w:t>
      </w:r>
      <w:r>
        <w:t xml:space="preserve"> </w:t>
      </w:r>
      <w:r>
        <w:t xml:space="preserve">“Early validation and verification of system behaviour in model-based systems engineering: A systematic literature review,”</w:t>
      </w:r>
      <w:r>
        <w:t xml:space="preserve"> </w:t>
      </w:r>
      <w:r>
        <w:rPr>
          <w:i/>
          <w:iCs/>
        </w:rPr>
        <w:t xml:space="preserve">ACM Transactions on Software Engineering and Methodology</w:t>
      </w:r>
      <w:r>
        <w:t xml:space="preserve">, Nov. 2023, doi:</w:t>
      </w:r>
      <w:r>
        <w:t xml:space="preserve"> </w:t>
      </w:r>
      <w:hyperlink r:id="rId45">
        <w:r>
          <w:rPr>
            <w:rStyle w:val="Hyperlink"/>
          </w:rPr>
          <w:t xml:space="preserve">https://doi.org/10.1145/3631976</w:t>
        </w:r>
      </w:hyperlink>
      <w:r>
        <w:t xml:space="preserve">.</w:t>
      </w:r>
    </w:p>
    <w:p>
      <w:pPr>
        <w:pStyle w:val="BodyText"/>
      </w:pPr>
      <w:r>
        <w:t xml:space="preserve">[38]</w:t>
      </w:r>
      <w:r>
        <w:t xml:space="preserve"> </w:t>
      </w:r>
      <w:r>
        <w:t xml:space="preserve">	</w:t>
      </w:r>
      <w:r>
        <w:t xml:space="preserve">M. A. Hussain,</w:t>
      </w:r>
      <w:r>
        <w:t xml:space="preserve"> </w:t>
      </w:r>
      <w:r>
        <w:t xml:space="preserve">“A comparative analysis of cloud migration strategies for enterprise systems architecture,”</w:t>
      </w:r>
      <w:r>
        <w:t xml:space="preserve"> </w:t>
      </w:r>
      <w:r>
        <w:rPr>
          <w:i/>
          <w:iCs/>
        </w:rPr>
        <w:t xml:space="preserve">World Journal of Advanced Engineering Technology and Sciences</w:t>
      </w:r>
      <w:r>
        <w:t xml:space="preserve">, May 2025, doi:</w:t>
      </w:r>
      <w:r>
        <w:t xml:space="preserve"> </w:t>
      </w:r>
      <w:hyperlink r:id="rId46">
        <w:r>
          <w:rPr>
            <w:rStyle w:val="Hyperlink"/>
          </w:rPr>
          <w:t xml:space="preserve">10.30574/wjaets.2025.15.2.0622</w:t>
        </w:r>
      </w:hyperlink>
      <w:r>
        <w:t xml:space="preserve">.</w:t>
      </w:r>
    </w:p>
    <w:p>
      <w:pPr>
        <w:pStyle w:val="BodyText"/>
      </w:pPr>
      <w:r>
        <w:t xml:space="preserve">[39]</w:t>
      </w:r>
      <w:r>
        <w:t xml:space="preserve"> </w:t>
      </w:r>
      <w:r>
        <w:t xml:space="preserve">	</w:t>
      </w:r>
      <w:r>
        <w:t xml:space="preserve">P. Yanamadala,</w:t>
      </w:r>
      <w:r>
        <w:t xml:space="preserve"> </w:t>
      </w:r>
      <w:r>
        <w:t xml:space="preserve">“Building effective cloud migration assessment frameworks: A structured approach for enterprise transformation,”</w:t>
      </w:r>
      <w:r>
        <w:t xml:space="preserve"> </w:t>
      </w:r>
      <w:r>
        <w:rPr>
          <w:i/>
          <w:iCs/>
        </w:rPr>
        <w:t xml:space="preserve">Global Journal of Engineering and Technology Advances</w:t>
      </w:r>
      <w:r>
        <w:t xml:space="preserve">, Apr. 2025, doi:</w:t>
      </w:r>
      <w:r>
        <w:t xml:space="preserve"> </w:t>
      </w:r>
      <w:hyperlink r:id="rId47">
        <w:r>
          <w:rPr>
            <w:rStyle w:val="Hyperlink"/>
          </w:rPr>
          <w:t xml:space="preserve">10.30574/gjeta.2025.23.1.0090</w:t>
        </w:r>
      </w:hyperlink>
      <w:r>
        <w:t xml:space="preserve">.</w:t>
      </w:r>
    </w:p>
    <w:p>
      <w:pPr>
        <w:pStyle w:val="BodyText"/>
      </w:pPr>
      <w:r>
        <w:t xml:space="preserve">[40]</w:t>
      </w:r>
      <w:r>
        <w:t xml:space="preserve"> </w:t>
      </w:r>
      <w:r>
        <w:t xml:space="preserve">	</w:t>
      </w:r>
      <w:r>
        <w:t xml:space="preserve">I. Bergier,</w:t>
      </w:r>
      <w:r>
        <w:t xml:space="preserve"> </w:t>
      </w:r>
      <w:r>
        <w:t xml:space="preserve">“AgriTrust: A federated semantic governance framework for trusted agricultural data sharing,”</w:t>
      </w:r>
      <w:r>
        <w:t xml:space="preserve"> </w:t>
      </w:r>
      <w:r>
        <w:rPr>
          <w:i/>
          <w:iCs/>
        </w:rPr>
        <w:t xml:space="preserve">arXiv.org</w:t>
      </w:r>
      <w:r>
        <w:t xml:space="preserve">, Nov. 2025, doi:</w:t>
      </w:r>
      <w:r>
        <w:t xml:space="preserve"> </w:t>
      </w:r>
      <w:hyperlink r:id="rId48">
        <w:r>
          <w:rPr>
            <w:rStyle w:val="Hyperlink"/>
          </w:rPr>
          <w:t xml:space="preserve">10.48550/arXiv.2511.05572</w:t>
        </w:r>
      </w:hyperlink>
      <w:r>
        <w:t xml:space="preserve">.</w:t>
      </w:r>
    </w:p>
    <w:p>
      <w:pPr>
        <w:pStyle w:val="BodyText"/>
      </w:pPr>
      <w:r>
        <w:t xml:space="preserve">[41]</w:t>
      </w:r>
      <w:r>
        <w:t xml:space="preserve"> </w:t>
      </w:r>
      <w:r>
        <w:t xml:space="preserve">	</w:t>
      </w:r>
      <w:r>
        <w:t xml:space="preserve">N. Debnath,</w:t>
      </w:r>
      <w:r>
        <w:t xml:space="preserve"> </w:t>
      </w:r>
      <w:r>
        <w:t xml:space="preserve">“The enterprise agentic mesh: Architectural convergence of semantic control planes and autonomous multi-agent governance,”</w:t>
      </w:r>
      <w:r>
        <w:t xml:space="preserve"> </w:t>
      </w:r>
      <w:r>
        <w:rPr>
          <w:i/>
          <w:iCs/>
        </w:rPr>
        <w:t xml:space="preserve">International journal of scientific and research publications</w:t>
      </w:r>
      <w:r>
        <w:t xml:space="preserve">, Dec. 2025, doi:</w:t>
      </w:r>
      <w:r>
        <w:t xml:space="preserve"> </w:t>
      </w:r>
      <w:hyperlink r:id="rId49">
        <w:r>
          <w:rPr>
            <w:rStyle w:val="Hyperlink"/>
          </w:rPr>
          <w:t xml:space="preserve">10.29322/ijsrp.15.12.2025.p16803</w:t>
        </w:r>
      </w:hyperlink>
      <w:r>
        <w:t xml:space="preserve">.</w:t>
      </w:r>
    </w:p>
    <w:p>
      <w:pPr>
        <w:pStyle w:val="BodyText"/>
      </w:pPr>
      <w:r>
        <w:t xml:space="preserve">[42]</w:t>
      </w:r>
      <w:r>
        <w:t xml:space="preserve"> </w:t>
      </w:r>
      <w:r>
        <w:t xml:space="preserve">	</w:t>
      </w:r>
      <w:r>
        <w:t xml:space="preserve">S. Raza, R. Sapkota, M. Karkee, and C. Emmanouilidis,</w:t>
      </w:r>
      <w:r>
        <w:t xml:space="preserve"> </w:t>
      </w:r>
      <w:r>
        <w:t xml:space="preserve">“TRiSM for agentic AI: A review of trust, risk, and security management in LLM-based agentic multi-agent systems,”</w:t>
      </w:r>
      <w:r>
        <w:t xml:space="preserve"> </w:t>
      </w:r>
      <w:r>
        <w:rPr>
          <w:i/>
          <w:iCs/>
        </w:rPr>
        <w:t xml:space="preserve">AI Open</w:t>
      </w:r>
      <w:r>
        <w:t xml:space="preserve">, June 2025, doi:</w:t>
      </w:r>
      <w:r>
        <w:t xml:space="preserve"> </w:t>
      </w:r>
      <w:hyperlink r:id="rId50">
        <w:r>
          <w:rPr>
            <w:rStyle w:val="Hyperlink"/>
          </w:rPr>
          <w:t xml:space="preserve">10.48550/arXiv.2506.04133</w:t>
        </w:r>
      </w:hyperlink>
      <w:r>
        <w:t xml:space="preserve">.</w:t>
      </w:r>
    </w:p>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01">
    <w:nsid w:val="00A99201"/>
    <w:multiLevelType w:val="multilevel"/>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19" Target="https://doi.org/10.1002/iis2.13201" TargetMode="External" /><Relationship Type="http://schemas.openxmlformats.org/officeDocument/2006/relationships/hyperlink" Id="rId16" Target="https://doi.org/10.1002/inst.70000" TargetMode="External" /><Relationship Type="http://schemas.openxmlformats.org/officeDocument/2006/relationships/hyperlink" Id="rId10" Target="https://doi.org/10.1002/sys.70032" TargetMode="External" /><Relationship Type="http://schemas.openxmlformats.org/officeDocument/2006/relationships/hyperlink" Id="rId14" Target="https://doi.org/10.1002/sys.70051" TargetMode="External" /><Relationship Type="http://schemas.openxmlformats.org/officeDocument/2006/relationships/hyperlink" Id="rId40" Target="https://doi.org/10.1007/s00170-022-09610-5" TargetMode="External" /><Relationship Type="http://schemas.openxmlformats.org/officeDocument/2006/relationships/hyperlink" Id="rId9" Target="https://doi.org/10.1017/pds.2025.10058" TargetMode="External" /><Relationship Type="http://schemas.openxmlformats.org/officeDocument/2006/relationships/hyperlink" Id="rId17" Target="https://doi.org/10.1109/ACCESS.2025.3575578" TargetMode="External" /><Relationship Type="http://schemas.openxmlformats.org/officeDocument/2006/relationships/hyperlink" Id="rId43" Target="https://doi.org/10.1109/ACCESS.2026.3691943" TargetMode="External" /><Relationship Type="http://schemas.openxmlformats.org/officeDocument/2006/relationships/hyperlink" Id="rId44" Target="https://doi.org/10.1109/ICNEPE67923.2025.11384503" TargetMode="External" /><Relationship Type="http://schemas.openxmlformats.org/officeDocument/2006/relationships/hyperlink" Id="rId24" Target="https://doi.org/10.1109/IConSCEPT66142.2025.11437293" TargetMode="External" /><Relationship Type="http://schemas.openxmlformats.org/officeDocument/2006/relationships/hyperlink" Id="rId42" Target="https://doi.org/10.1109/SysCon64521.2025.11014849" TargetMode="External" /><Relationship Type="http://schemas.openxmlformats.org/officeDocument/2006/relationships/hyperlink" Id="rId39" Target="https://doi.org/10.1109/SysCon66367.2026.11503490" TargetMode="External" /><Relationship Type="http://schemas.openxmlformats.org/officeDocument/2006/relationships/hyperlink" Id="rId18" Target="https://doi.org/10.1109/SysCon66367.2026.11503597" TargetMode="External" /><Relationship Type="http://schemas.openxmlformats.org/officeDocument/2006/relationships/hyperlink" Id="rId45" Target="https://doi.org/10.1145/3631976" TargetMode="External" /><Relationship Type="http://schemas.openxmlformats.org/officeDocument/2006/relationships/hyperlink" Id="rId32" Target="https://doi.org/10.1145/3774904.3792589" TargetMode="External" /><Relationship Type="http://schemas.openxmlformats.org/officeDocument/2006/relationships/hyperlink" Id="rId22" Target="https://doi.org/10.1145/3777378" TargetMode="External" /><Relationship Type="http://schemas.openxmlformats.org/officeDocument/2006/relationships/hyperlink" Id="rId15" Target="https://doi.org/10.12732/ijam.v38i6s.452" TargetMode="External" /><Relationship Type="http://schemas.openxmlformats.org/officeDocument/2006/relationships/hyperlink" Id="rId33" Target="https://doi.org/10.15662/ijeetr.2024.0605021" TargetMode="External" /><Relationship Type="http://schemas.openxmlformats.org/officeDocument/2006/relationships/hyperlink" Id="rId41" Target="https://doi.org/10.22214/ijraset.2026.77839" TargetMode="External" /><Relationship Type="http://schemas.openxmlformats.org/officeDocument/2006/relationships/hyperlink" Id="rId13" Target="https://doi.org/10.26689/jera.v10i1.13913" TargetMode="External" /><Relationship Type="http://schemas.openxmlformats.org/officeDocument/2006/relationships/hyperlink" Id="rId49" Target="https://doi.org/10.29322/ijsrp.15.12.2025.p16803" TargetMode="External" /><Relationship Type="http://schemas.openxmlformats.org/officeDocument/2006/relationships/hyperlink" Id="rId47" Target="https://doi.org/10.30574/gjeta.2025.23.1.0090" TargetMode="External" /><Relationship Type="http://schemas.openxmlformats.org/officeDocument/2006/relationships/hyperlink" Id="rId46" Target="https://doi.org/10.30574/wjaets.2025.15.2.0622" TargetMode="External" /><Relationship Type="http://schemas.openxmlformats.org/officeDocument/2006/relationships/hyperlink" Id="rId30" Target="https://doi.org/10.32628/cseit26123316" TargetMode="External" /><Relationship Type="http://schemas.openxmlformats.org/officeDocument/2006/relationships/hyperlink" Id="rId35" Target="https://doi.org/10.32996/jcsts.2026.8.4.3" TargetMode="External" /><Relationship Type="http://schemas.openxmlformats.org/officeDocument/2006/relationships/hyperlink" Id="rId20" Target="https://doi.org/10.3390/systems13090781" TargetMode="External" /><Relationship Type="http://schemas.openxmlformats.org/officeDocument/2006/relationships/hyperlink" Id="rId12" Target="https://doi.org/10.3390/systems14010083" TargetMode="External" /><Relationship Type="http://schemas.openxmlformats.org/officeDocument/2006/relationships/hyperlink" Id="rId37" Target="https://doi.org/10.3390/systems14040372" TargetMode="External" /><Relationship Type="http://schemas.openxmlformats.org/officeDocument/2006/relationships/hyperlink" Id="rId11" Target="https://doi.org/10.47363/jaicc/icmlaids2026/2026(5)14" TargetMode="External" /><Relationship Type="http://schemas.openxmlformats.org/officeDocument/2006/relationships/hyperlink" Id="rId21" Target="https://doi.org/10.48550/arXiv.2501.13958" TargetMode="External" /><Relationship Type="http://schemas.openxmlformats.org/officeDocument/2006/relationships/hyperlink" Id="rId28" Target="https://doi.org/10.48550/arXiv.2502.18992" TargetMode="External" /><Relationship Type="http://schemas.openxmlformats.org/officeDocument/2006/relationships/hyperlink" Id="rId25" Target="https://doi.org/10.48550/arXiv.2504.09823" TargetMode="External" /><Relationship Type="http://schemas.openxmlformats.org/officeDocument/2006/relationships/hyperlink" Id="rId50" Target="https://doi.org/10.48550/arXiv.2506.04133" TargetMode="External" /><Relationship Type="http://schemas.openxmlformats.org/officeDocument/2006/relationships/hyperlink" Id="rId23" Target="https://doi.org/10.48550/arXiv.2508.06105" TargetMode="External" /><Relationship Type="http://schemas.openxmlformats.org/officeDocument/2006/relationships/hyperlink" Id="rId26" Target="https://doi.org/10.48550/arXiv.2510.10114" TargetMode="External" /><Relationship Type="http://schemas.openxmlformats.org/officeDocument/2006/relationships/hyperlink" Id="rId48" Target="https://doi.org/10.48550/arXiv.2511.05572" TargetMode="External" /><Relationship Type="http://schemas.openxmlformats.org/officeDocument/2006/relationships/hyperlink" Id="rId27" Target="https://doi.org/10.48550/arXiv.2512.09148" TargetMode="External" /><Relationship Type="http://schemas.openxmlformats.org/officeDocument/2006/relationships/hyperlink" Id="rId31" Target="https://doi.org/10.48550/arXiv.2601.05254" TargetMode="External" /><Relationship Type="http://schemas.openxmlformats.org/officeDocument/2006/relationships/hyperlink" Id="rId38" Target="https://doi.org/10.5220/0013258400003896" TargetMode="External" /><Relationship Type="http://schemas.openxmlformats.org/officeDocument/2006/relationships/hyperlink" Id="rId29" Target="https://doi.org/10.52710/cfs.1008" TargetMode="External" /><Relationship Type="http://schemas.openxmlformats.org/officeDocument/2006/relationships/hyperlink" Id="rId36" Target="https://doi.org/10.52783/jisem.v10i62s.13565" TargetMode="External" /><Relationship Type="http://schemas.openxmlformats.org/officeDocument/2006/relationships/hyperlink" Id="rId34" Target="https://doi.org/10.9734/jerr/2026/v28i41862" TargetMode="External" /></Relationships>
</file>

<file path=word/_rels/footnotes.xml.rels><?xml version="1.0" encoding="UTF-8"?><Relationships xmlns="http://schemas.openxmlformats.org/package/2006/relationships"><Relationship Type="http://schemas.openxmlformats.org/officeDocument/2006/relationships/hyperlink" Id="rId19" Target="https://doi.org/10.1002/iis2.13201" TargetMode="External" /><Relationship Type="http://schemas.openxmlformats.org/officeDocument/2006/relationships/hyperlink" Id="rId16" Target="https://doi.org/10.1002/inst.70000" TargetMode="External" /><Relationship Type="http://schemas.openxmlformats.org/officeDocument/2006/relationships/hyperlink" Id="rId10" Target="https://doi.org/10.1002/sys.70032" TargetMode="External" /><Relationship Type="http://schemas.openxmlformats.org/officeDocument/2006/relationships/hyperlink" Id="rId14" Target="https://doi.org/10.1002/sys.70051" TargetMode="External" /><Relationship Type="http://schemas.openxmlformats.org/officeDocument/2006/relationships/hyperlink" Id="rId40" Target="https://doi.org/10.1007/s00170-022-09610-5" TargetMode="External" /><Relationship Type="http://schemas.openxmlformats.org/officeDocument/2006/relationships/hyperlink" Id="rId9" Target="https://doi.org/10.1017/pds.2025.10058" TargetMode="External" /><Relationship Type="http://schemas.openxmlformats.org/officeDocument/2006/relationships/hyperlink" Id="rId17" Target="https://doi.org/10.1109/ACCESS.2025.3575578" TargetMode="External" /><Relationship Type="http://schemas.openxmlformats.org/officeDocument/2006/relationships/hyperlink" Id="rId43" Target="https://doi.org/10.1109/ACCESS.2026.3691943" TargetMode="External" /><Relationship Type="http://schemas.openxmlformats.org/officeDocument/2006/relationships/hyperlink" Id="rId44" Target="https://doi.org/10.1109/ICNEPE67923.2025.11384503" TargetMode="External" /><Relationship Type="http://schemas.openxmlformats.org/officeDocument/2006/relationships/hyperlink" Id="rId24" Target="https://doi.org/10.1109/IConSCEPT66142.2025.11437293" TargetMode="External" /><Relationship Type="http://schemas.openxmlformats.org/officeDocument/2006/relationships/hyperlink" Id="rId42" Target="https://doi.org/10.1109/SysCon64521.2025.11014849" TargetMode="External" /><Relationship Type="http://schemas.openxmlformats.org/officeDocument/2006/relationships/hyperlink" Id="rId39" Target="https://doi.org/10.1109/SysCon66367.2026.11503490" TargetMode="External" /><Relationship Type="http://schemas.openxmlformats.org/officeDocument/2006/relationships/hyperlink" Id="rId18" Target="https://doi.org/10.1109/SysCon66367.2026.11503597" TargetMode="External" /><Relationship Type="http://schemas.openxmlformats.org/officeDocument/2006/relationships/hyperlink" Id="rId45" Target="https://doi.org/10.1145/3631976" TargetMode="External" /><Relationship Type="http://schemas.openxmlformats.org/officeDocument/2006/relationships/hyperlink" Id="rId32" Target="https://doi.org/10.1145/3774904.3792589" TargetMode="External" /><Relationship Type="http://schemas.openxmlformats.org/officeDocument/2006/relationships/hyperlink" Id="rId22" Target="https://doi.org/10.1145/3777378" TargetMode="External" /><Relationship Type="http://schemas.openxmlformats.org/officeDocument/2006/relationships/hyperlink" Id="rId15" Target="https://doi.org/10.12732/ijam.v38i6s.452" TargetMode="External" /><Relationship Type="http://schemas.openxmlformats.org/officeDocument/2006/relationships/hyperlink" Id="rId33" Target="https://doi.org/10.15662/ijeetr.2024.0605021" TargetMode="External" /><Relationship Type="http://schemas.openxmlformats.org/officeDocument/2006/relationships/hyperlink" Id="rId41" Target="https://doi.org/10.22214/ijraset.2026.77839" TargetMode="External" /><Relationship Type="http://schemas.openxmlformats.org/officeDocument/2006/relationships/hyperlink" Id="rId13" Target="https://doi.org/10.26689/jera.v10i1.13913" TargetMode="External" /><Relationship Type="http://schemas.openxmlformats.org/officeDocument/2006/relationships/hyperlink" Id="rId49" Target="https://doi.org/10.29322/ijsrp.15.12.2025.p16803" TargetMode="External" /><Relationship Type="http://schemas.openxmlformats.org/officeDocument/2006/relationships/hyperlink" Id="rId47" Target="https://doi.org/10.30574/gjeta.2025.23.1.0090" TargetMode="External" /><Relationship Type="http://schemas.openxmlformats.org/officeDocument/2006/relationships/hyperlink" Id="rId46" Target="https://doi.org/10.30574/wjaets.2025.15.2.0622" TargetMode="External" /><Relationship Type="http://schemas.openxmlformats.org/officeDocument/2006/relationships/hyperlink" Id="rId30" Target="https://doi.org/10.32628/cseit26123316" TargetMode="External" /><Relationship Type="http://schemas.openxmlformats.org/officeDocument/2006/relationships/hyperlink" Id="rId35" Target="https://doi.org/10.32996/jcsts.2026.8.4.3" TargetMode="External" /><Relationship Type="http://schemas.openxmlformats.org/officeDocument/2006/relationships/hyperlink" Id="rId20" Target="https://doi.org/10.3390/systems13090781" TargetMode="External" /><Relationship Type="http://schemas.openxmlformats.org/officeDocument/2006/relationships/hyperlink" Id="rId12" Target="https://doi.org/10.3390/systems14010083" TargetMode="External" /><Relationship Type="http://schemas.openxmlformats.org/officeDocument/2006/relationships/hyperlink" Id="rId37" Target="https://doi.org/10.3390/systems14040372" TargetMode="External" /><Relationship Type="http://schemas.openxmlformats.org/officeDocument/2006/relationships/hyperlink" Id="rId11" Target="https://doi.org/10.47363/jaicc/icmlaids2026/2026(5)14" TargetMode="External" /><Relationship Type="http://schemas.openxmlformats.org/officeDocument/2006/relationships/hyperlink" Id="rId21" Target="https://doi.org/10.48550/arXiv.2501.13958" TargetMode="External" /><Relationship Type="http://schemas.openxmlformats.org/officeDocument/2006/relationships/hyperlink" Id="rId28" Target="https://doi.org/10.48550/arXiv.2502.18992" TargetMode="External" /><Relationship Type="http://schemas.openxmlformats.org/officeDocument/2006/relationships/hyperlink" Id="rId25" Target="https://doi.org/10.48550/arXiv.2504.09823" TargetMode="External" /><Relationship Type="http://schemas.openxmlformats.org/officeDocument/2006/relationships/hyperlink" Id="rId50" Target="https://doi.org/10.48550/arXiv.2506.04133" TargetMode="External" /><Relationship Type="http://schemas.openxmlformats.org/officeDocument/2006/relationships/hyperlink" Id="rId23" Target="https://doi.org/10.48550/arXiv.2508.06105" TargetMode="External" /><Relationship Type="http://schemas.openxmlformats.org/officeDocument/2006/relationships/hyperlink" Id="rId26" Target="https://doi.org/10.48550/arXiv.2510.10114" TargetMode="External" /><Relationship Type="http://schemas.openxmlformats.org/officeDocument/2006/relationships/hyperlink" Id="rId48" Target="https://doi.org/10.48550/arXiv.2511.05572" TargetMode="External" /><Relationship Type="http://schemas.openxmlformats.org/officeDocument/2006/relationships/hyperlink" Id="rId27" Target="https://doi.org/10.48550/arXiv.2512.09148" TargetMode="External" /><Relationship Type="http://schemas.openxmlformats.org/officeDocument/2006/relationships/hyperlink" Id="rId31" Target="https://doi.org/10.48550/arXiv.2601.05254" TargetMode="External" /><Relationship Type="http://schemas.openxmlformats.org/officeDocument/2006/relationships/hyperlink" Id="rId38" Target="https://doi.org/10.5220/0013258400003896" TargetMode="External" /><Relationship Type="http://schemas.openxmlformats.org/officeDocument/2006/relationships/hyperlink" Id="rId29" Target="https://doi.org/10.52710/cfs.1008" TargetMode="External" /><Relationship Type="http://schemas.openxmlformats.org/officeDocument/2006/relationships/hyperlink" Id="rId36" Target="https://doi.org/10.52783/jisem.v10i62s.13565" TargetMode="External" /><Relationship Type="http://schemas.openxmlformats.org/officeDocument/2006/relationships/hyperlink" Id="rId34" Target="https://doi.org/10.9734/jerr/2026/v28i4186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2026-06-07T18:48:22Z</dcterms:created>
  <dcterms:modified xsi:type="dcterms:W3CDTF">2026-06-07T18:48:22Z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bliography">
    <vt:lpwstr>/tmp/document-temp/references_4f6935672b4f71f0_1780858101.bib</vt:lpwstr>
  </property>
  <property fmtid="{D5CDD505-2E9C-101B-9397-08002B2CF9AE}" pid="3" name="csl">
    <vt:lpwstr>/tmp/document-temp/style_4f6935672b4f71f0_1780858101.csl</vt:lpwstr>
  </property>
  <property fmtid="{D5CDD505-2E9C-101B-9397-08002B2CF9AE}" pid="4" name="link-citations">
    <vt:lpwstr>True</vt:lpwstr>
  </property>
</Properties>
</file>