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18.png" ContentType="image/png"/>
  <Override PartName="/word/media/rId21.png" ContentType="image/png"/>
  <Override PartName="/word/media/rId9.png" ContentType="image/png"/>
  <Override PartName="/word/media/rId15.png" ContentType="image/png"/>
  <Override PartName="/word/media/rId24.png" ContentType="image/png"/>
  <Override PartName="/word/media/rId12.png" ContentType="image/pn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Heading1"/>
      </w:pPr>
      <w:r>
        <w:t xml:space="preserve">Prompt 3 — GraphRAG and Knowledge Graph Architectures</w:t>
      </w:r>
    </w:p>
    <w:p>
      <w:pPr>
        <w:pStyle w:val="FirstParagraph"/>
      </w:pPr>
      <w:r>
        <w:t xml:space="preserve">Conduct a state-of-the-art review of GraphRAG, knowledge graphs, graph neural networks, semantic retrieval, multi-hop reasoning, and graph-based decision support. Compare GraphRAG architectures across commercial, government, academic, and defense applications. Identify best practices for combining vector databases, graph databases, and ontology layers into unified reasoning systems.</w:t>
      </w:r>
    </w:p>
    <w:p>
      <w:pPr>
        <w:pStyle w:val="BodyText"/>
      </w:pPr>
      <w:r>
        <w:rPr>
          <w:b/>
          <w:bCs/>
        </w:rPr>
        <w:t xml:space="preserve">Generated on:</w:t>
      </w:r>
      <w:r>
        <w:t xml:space="preserve"> </w:t>
      </w:r>
      <w:r>
        <w:t xml:space="preserve">June 07, 2026</w:t>
      </w:r>
    </w:p>
    <w:p>
      <w:r>
        <w:pict>
          <v:rect style="width:0;height:1.5pt" o:hralign="center" o:hrstd="t" o:hr="t"/>
        </w:pict>
      </w:r>
    </w:p>
    <w:p>
      <w:pPr>
        <w:pStyle w:val="FirstParagraph"/>
      </w:pPr>
      <w:r>
        <w:t xml:space="preserve">Perfect! Now let me write the comprehensive literature review with full citations:</w:t>
      </w:r>
    </w:p>
    <w:p>
      <w:r>
        <w:pict>
          <v:rect style="width:0;height:1.5pt" o:hralign="center" o:hrstd="t" o:hr="t"/>
        </w:pict>
      </w:r>
    </w:p>
    <w:p>
      <w:pPr>
        <w:pStyle w:val="Heading1"/>
      </w:pPr>
      <w:r>
        <w:t xml:space="preserve">State-of-the-Art Review: GraphRAG and Knowledge Graph Architectures</w:t>
      </w:r>
    </w:p>
    <w:p>
      <w:pPr>
        <w:pStyle w:val="Heading2"/>
      </w:pPr>
      <w:r>
        <w:t xml:space="preserve">1. Foundational Concepts and the GraphRAG Framework</w:t>
      </w:r>
    </w:p>
    <w:p>
      <w:pPr>
        <w:pStyle w:val="Heading3"/>
      </w:pPr>
      <w:r>
        <w:t xml:space="preserve">1.1 Evolution from Traditional RAG to GraphRAG</w:t>
      </w:r>
    </w:p>
    <w:p>
      <w:pPr>
        <w:pStyle w:val="FirstParagraph"/>
      </w:pPr>
      <w:r>
        <w:t xml:space="preserve">Retrieval-Augmented Generation (RAG) has emerged as a powerful paradigm for enhancing large language models (LLMs) with external knowledge</w:t>
      </w:r>
      <w:r>
        <w:t xml:space="preserve"> </w:t>
      </w:r>
      <w:hyperlink w:anchor="ref-haoyu2024">
        <w:r>
          <w:rPr>
            <w:rStyle w:val="Hyperlink"/>
          </w:rPr>
          <w:t xml:space="preserve">[1]</w:t>
        </w:r>
      </w:hyperlink>
      <w:r>
        <w:t xml:space="preserve">. Traditional RAG systems integrate unstructured documents through dense vector retrieval, effectively grounding LLM outputs in external corpora to mitigate hallucination and incorporate domain-specific knowledge. However, conventional RAG approaches treat documents as flat, atomized chunks and rely purely on semantic similarity, which fundamentally limits their capacity to capture complex relational structures and support multi-hop reasoning across distributed information</w:t>
      </w:r>
      <w:r>
        <w:t xml:space="preserve"> </w:t>
      </w:r>
      <w:hyperlink w:anchor="ref-su2026">
        <w:r>
          <w:rPr>
            <w:rStyle w:val="Hyperlink"/>
          </w:rPr>
          <w:t xml:space="preserve">[2]</w:t>
        </w:r>
      </w:hyperlink>
      <w:r>
        <w:t xml:space="preserve">.</w:t>
      </w:r>
    </w:p>
    <w:p>
      <w:pPr>
        <w:pStyle w:val="BodyText"/>
      </w:pPr>
      <w:r>
        <w:t xml:space="preserve">Graph-based Retrieval-Augmented Generation (GraphRAG) addresses this limitation by organizing knowledge as explicit structured graphs that capture entities, their relationships, and hierarchical semantic dependencies</w:t>
      </w:r>
      <w:r>
        <w:t xml:space="preserve"> </w:t>
      </w:r>
      <w:hyperlink w:anchor="ref-xiangxi2026">
        <w:r>
          <w:rPr>
            <w:rStyle w:val="Hyperlink"/>
          </w:rPr>
          <w:t xml:space="preserve">[3]</w:t>
        </w:r>
      </w:hyperlink>
      <w:r>
        <w:t xml:space="preserve">. Rather than retrieving isolated passages, GraphRAG systems construct knowledge graphs from documents, enabling structured navigation through multi-hop inference paths and community-level reasoning. This shift from dense vector-based retrieval to graph-structured knowledge representation represents a fundamental architectural transition that substantially improves reasoning reliability and interpretability for complex, knowledge-intensive tasks</w:t>
      </w:r>
      <w:r>
        <w:t xml:space="preserve"> </w:t>
      </w:r>
      <w:hyperlink w:anchor="ref-haoyu2024">
        <w:r>
          <w:rPr>
            <w:rStyle w:val="Hyperlink"/>
          </w:rPr>
          <w:t xml:space="preserve">[1]</w:t>
        </w:r>
      </w:hyperlink>
      <w:r>
        <w:t xml:space="preserve">.</w:t>
      </w:r>
    </w:p>
    <w:p>
      <w:pPr>
        <w:pStyle w:val="Heading3"/>
      </w:pPr>
      <w:r>
        <w:t xml:space="preserve">1.2 Core Architectural Components</w:t>
      </w:r>
    </w:p>
    <w:p>
      <w:pPr>
        <w:pStyle w:val="FirstParagraph"/>
      </w:pPr>
      <w:r>
        <w:t xml:space="preserve">A unified GraphRAG framework comprises five primary components: query processor, retriever, organizer, generator, and data source</w:t>
      </w:r>
      <w:r>
        <w:t xml:space="preserve"> </w:t>
      </w:r>
      <w:hyperlink w:anchor="ref-haoyu2024">
        <w:r>
          <w:rPr>
            <w:rStyle w:val="Hyperlink"/>
          </w:rPr>
          <w:t xml:space="preserve">[1]</w:t>
        </w:r>
      </w:hyperlink>
      <w:r>
        <w:t xml:space="preserve">. The query processor decomposes complex user questions into tractable sub-problems, extracting intent and structural features to guide subsequent retrieval. Query complexity analysis enables adaptive routing—simple factual queries may be efficiently handled through dense vector retrieval, while complex multi-hop questions benefit from graph-based traversal</w:t>
      </w:r>
      <w:r>
        <w:t xml:space="preserve"> </w:t>
      </w:r>
      <w:hyperlink w:anchor="ref-su2026">
        <w:r>
          <w:rPr>
            <w:rStyle w:val="Hyperlink"/>
          </w:rPr>
          <w:t xml:space="preserve">[2]</w:t>
        </w:r>
      </w:hyperlink>
      <w:r>
        <w:t xml:space="preserve">.</w:t>
      </w:r>
    </w:p>
    <w:p>
      <w:pPr>
        <w:pStyle w:val="BodyText"/>
      </w:pPr>
      <w:r>
        <w:t xml:space="preserve">The retriever component operates across multiple retrieval paradigms. Dense retrievers exploit semantic embeddings for initial candidate ranking; graph retrievers navigate knowledge graph structures using algorithms such as breadth-first search (BFS) or personalized PageRank to identify relevant subgraphs; and hybrid retrievers combine both modalities through learned fusion strategies</w:t>
      </w:r>
      <w:r>
        <w:t xml:space="preserve"> </w:t>
      </w:r>
      <w:hyperlink w:anchor="ref-boci2025">
        <w:r>
          <w:rPr>
            <w:rStyle w:val="Hyperlink"/>
          </w:rPr>
          <w:t xml:space="preserve">[4]</w:t>
        </w:r>
      </w:hyperlink>
      <w:r>
        <w:t xml:space="preserve">. The organizer structures retrieved information into coherent context through hierarchical summarization and community-level aggregation, reducing cognitive load on the generator. The generator, typically an LLM, synthesizes retrieved evidence into structured, grounded responses. Finally, diverse data sources—documents, knowledge graphs, ontologies, and vector databases—provide the external knowledge substrate</w:t>
      </w:r>
      <w:r>
        <w:t xml:space="preserve"> </w:t>
      </w:r>
      <w:hyperlink w:anchor="ref-xiangxi2026">
        <w:r>
          <w:rPr>
            <w:rStyle w:val="Hyperlink"/>
          </w:rPr>
          <w:t xml:space="preserve">[3]</w:t>
        </w:r>
      </w:hyperlink>
      <w:r>
        <w:t xml:space="preserve">.</w:t>
      </w:r>
    </w:p>
    <w:p>
      <w:pPr>
        <w:pStyle w:val="Heading3"/>
      </w:pPr>
      <w:r>
        <w:t xml:space="preserve">1.3 Adaptive Query Routing and Complexity Analysis</w:t>
      </w:r>
    </w:p>
    <w:p>
      <w:pPr>
        <w:pStyle w:val="FirstParagraph"/>
      </w:pPr>
      <w:r>
        <w:t xml:space="preserve">Recent advances emphasize adaptive query routing rather than rigid application of GraphRAG to all queries. EA-GraphRAG dynamically selects between dense and graph-based retrieval by analyzing syntactic features and computing continuous complexity scores</w:t>
      </w:r>
      <w:r>
        <w:t xml:space="preserve"> </w:t>
      </w:r>
      <w:hyperlink w:anchor="ref-su2026">
        <w:r>
          <w:rPr>
            <w:rStyle w:val="Hyperlink"/>
          </w:rPr>
          <w:t xml:space="preserve">[2]</w:t>
        </w:r>
      </w:hyperlink>
      <w:r>
        <w:t xml:space="preserve">. This approach achieves state-of-the-art performance on mixed-complexity benchmarks by invoking graph-based retrieval for high-complexity queries, using dense RAG for simple factual questions, and applying complexity-aware fusion for borderline cases. This adaptive paradigm substantially reduces latency while maintaining accuracy, with reported token cost reductions of up to 90.71% compared to baseline approaches</w:t>
      </w:r>
      <w:r>
        <w:t xml:space="preserve"> </w:t>
      </w:r>
      <w:hyperlink w:anchor="ref-junnan2025">
        <w:r>
          <w:rPr>
            <w:rStyle w:val="Hyperlink"/>
          </w:rPr>
          <w:t xml:space="preserve">[5]</w:t>
        </w:r>
      </w:hyperlink>
      <w:r>
        <w:t xml:space="preserve">.</w:t>
      </w:r>
    </w:p>
    <w:p>
      <w:pPr>
        <w:pStyle w:val="Heading2"/>
      </w:pPr>
      <w:r>
        <w:t xml:space="preserve">2. Knowledge Graph Construction and Representation</w:t>
      </w:r>
    </w:p>
    <w:p>
      <w:pPr>
        <w:pStyle w:val="Heading3"/>
      </w:pPr>
      <w:r>
        <w:t xml:space="preserve">2.1 Entity and Relationship Extraction Methodologies</w:t>
      </w:r>
    </w:p>
    <w:p>
      <w:pPr>
        <w:pStyle w:val="FirstParagraph"/>
      </w:pPr>
      <w:r>
        <w:t xml:space="preserve">Knowledge graph construction begins with systematic extraction of entities and relationships from unstructured text. Traditional information extraction techniques relied on hand-crafted patterns and linguistic rules, but modern approaches leverage LLMs and neural relation extraction models to automatically identify domain entities and their connections</w:t>
      </w:r>
      <w:r>
        <w:t xml:space="preserve"> </w:t>
      </w:r>
      <w:hyperlink w:anchor="ref-a2025">
        <w:r>
          <w:rPr>
            <w:rStyle w:val="Hyperlink"/>
          </w:rPr>
          <w:t xml:space="preserve">[6]</w:t>
        </w:r>
      </w:hyperlink>
      <w:r>
        <w:t xml:space="preserve">. LLMs such as GPT-4o demonstrate superior performance in medical ontology mapping, achieving precision of 93.75% and F1-score of 96.26% when combined with vector databases for efficient concept retrieval</w:t>
      </w:r>
      <w:r>
        <w:t xml:space="preserve"> </w:t>
      </w:r>
      <w:hyperlink w:anchor="ref-a2025">
        <w:r>
          <w:rPr>
            <w:rStyle w:val="Hyperlink"/>
          </w:rPr>
          <w:t xml:space="preserve">[6]</w:t>
        </w:r>
      </w:hyperlink>
      <w:r>
        <w:t xml:space="preserve">.</w:t>
      </w:r>
    </w:p>
    <w:p>
      <w:pPr>
        <w:pStyle w:val="BodyText"/>
      </w:pPr>
      <w:r>
        <w:t xml:space="preserve">Document-level knowledge graph construction (RAKG) addresses challenges of entity disambiguation and cross-document integration by utilizing pre-entities as queries for RAG, effectively mitigating long-context forgetting in LLMs and reducing coreference resolution complexity</w:t>
      </w:r>
      <w:r>
        <w:t xml:space="preserve"> </w:t>
      </w:r>
      <w:hyperlink w:anchor="ref-hairong2025">
        <w:r>
          <w:rPr>
            <w:rStyle w:val="Hyperlink"/>
          </w:rPr>
          <w:t xml:space="preserve">[7]</w:t>
        </w:r>
      </w:hyperlink>
      <w:r>
        <w:t xml:space="preserve">. This framework achieves 95.91% accuracy on the MINE dataset, representing 6.2 percentage point improvement over GraphRAG baseline. The key innovation is treating knowledge graph construction itself as a retrieval-augmented task, allowing systematic evaluation of generated graphs through established RAG metrics.</w:t>
      </w:r>
    </w:p>
    <w:p>
      <w:pPr>
        <w:pStyle w:val="Heading3"/>
      </w:pPr>
      <w:r>
        <w:t xml:space="preserve">2.2 Graph Embedding and Representation Learning</w:t>
      </w:r>
    </w:p>
    <w:p>
      <w:pPr>
        <w:pStyle w:val="FirstParagraph"/>
      </w:pPr>
      <w:r>
        <w:t xml:space="preserve">Knowledge graph embeddings map entities and relations into low-dimensional vector spaces while preserving semantic and structural information</w:t>
      </w:r>
      <w:r>
        <w:t xml:space="preserve"> </w:t>
      </w:r>
      <w:hyperlink w:anchor="ref-lianshang2024">
        <w:r>
          <w:rPr>
            <w:rStyle w:val="Hyperlink"/>
          </w:rPr>
          <w:t xml:space="preserve">[8]</w:t>
        </w:r>
      </w:hyperlink>
      <w:r>
        <w:t xml:space="preserve">. Traditional translation-based approaches (TransE, TransH, TransR) model relations as translations in embedding space</w:t>
      </w:r>
      <w:r>
        <w:t xml:space="preserve"> </w:t>
      </w:r>
      <w:hyperlink w:anchor="ref-zhen2014">
        <w:r>
          <w:rPr>
            <w:rStyle w:val="Hyperlink"/>
          </w:rPr>
          <w:t xml:space="preserve">[9]</w:t>
        </w:r>
      </w:hyperlink>
      <w:r>
        <w:t xml:space="preserve">. More recent methods incorporate semantic matching, hyperbolic geometries for hierarchical data, and neural-symbolic fusion to capture complex ontological structures</w:t>
      </w:r>
      <w:r>
        <w:t xml:space="preserve"> </w:t>
      </w:r>
      <w:hyperlink w:anchor="ref-nan2023">
        <w:r>
          <w:rPr>
            <w:rStyle w:val="Hyperlink"/>
          </w:rPr>
          <w:t xml:space="preserve">[10]</w:t>
        </w:r>
      </w:hyperlink>
      <w:r>
        <w:t xml:space="preserve">.</w:t>
      </w:r>
    </w:p>
    <w:p>
      <w:pPr>
        <w:pStyle w:val="BodyText"/>
      </w:pPr>
      <w:r>
        <w:t xml:space="preserve">Temporal knowledge graph embeddings extend static representations by incorporating temporal dynamics, enabling systems to reason over evolving facts and concept drift in knowledge streams</w:t>
      </w:r>
      <w:r>
        <w:t xml:space="preserve"> </w:t>
      </w:r>
      <w:hyperlink w:anchor="ref-lianshang2024">
        <w:r>
          <w:rPr>
            <w:rStyle w:val="Hyperlink"/>
          </w:rPr>
          <w:t xml:space="preserve">[8]</w:t>
        </w:r>
      </w:hyperlink>
      <w:r>
        <w:t xml:space="preserve">. HEM (Hyperbolic Embedding Model) for biomedical knowledge graphs demonstrates how hyperbolic spaces naturally capture hierarchical information with superior performance on protein-protein interaction and gene-disease association tasks compared to Euclidean embeddings</w:t>
      </w:r>
      <w:r>
        <w:t xml:space="preserve"> </w:t>
      </w:r>
      <w:hyperlink w:anchor="ref-nan2023">
        <w:r>
          <w:rPr>
            <w:rStyle w:val="Hyperlink"/>
          </w:rPr>
          <w:t xml:space="preserve">[10]</w:t>
        </w:r>
      </w:hyperlink>
      <w:r>
        <w:t xml:space="preserve">. These advances recognize that real-world knowledge exhibits hierarchical structure poorly represented in Euclidean spaces, and that preserving such structure enhances downstream reasoning and link prediction tasks.</w:t>
      </w:r>
    </w:p>
    <w:p>
      <w:pPr>
        <w:pStyle w:val="Heading3"/>
      </w:pPr>
      <w:r>
        <w:t xml:space="preserve">2.3 Ontology-Guided Construction and Integration</w:t>
      </w:r>
    </w:p>
    <w:p>
      <w:pPr>
        <w:pStyle w:val="FirstParagraph"/>
      </w:pPr>
      <w:r>
        <w:t xml:space="preserve">Ontology learning and knowledge graph construction represent complementary approaches, with ontology-guided KGs outperforming pure vector-based RAG while reducing LLM usage costs</w:t>
      </w:r>
      <w:r>
        <w:t xml:space="preserve"> </w:t>
      </w:r>
      <w:hyperlink w:anchor="ref-t2025">
        <w:r>
          <w:rPr>
            <w:rStyle w:val="Hyperlink"/>
          </w:rPr>
          <w:t xml:space="preserve">[11]</w:t>
        </w:r>
      </w:hyperlink>
      <w:r>
        <w:t xml:space="preserve">. Incorporating domain ontologies during graph construction provides formal semantic constraints that ensure consistency and support rule-based reasoning. FAIR GraphRAG integrates FAIR Digital Objects as fundamental units, each incorporating core data, metadata, persistent identifiers, and semantic links within a unified graph framework</w:t>
      </w:r>
      <w:r>
        <w:t xml:space="preserve"> </w:t>
      </w:r>
      <w:hyperlink w:anchor="ref-marlena2025">
        <w:r>
          <w:rPr>
            <w:rStyle w:val="Hyperlink"/>
          </w:rPr>
          <w:t xml:space="preserve">[12]</w:t>
        </w:r>
      </w:hyperlink>
      <w:r>
        <w:t xml:space="preserve">.</w:t>
      </w:r>
    </w:p>
    <w:p>
      <w:pPr>
        <w:pStyle w:val="BodyText"/>
      </w:pPr>
      <w:r>
        <w:t xml:space="preserve">This hybrid approach combines the interpretability and logical consistency of formal ontologies with the flexibility of neural embeddings. Experiments on biomedical data demonstrate that ontology-guided construction achieves competitive performance with state-of-the-art GraphRAG while requiring substantially less computation and enabling explicit reasoning over domain-specific constraints. Such integration proves particularly valuable in regulated domains (healthcare, finance, legal) where both neural pattern recognition and formal logical consistency are requirements</w:t>
      </w:r>
      <w:r>
        <w:t xml:space="preserve"> </w:t>
      </w:r>
      <w:hyperlink w:anchor="ref-t2025">
        <w:r>
          <w:rPr>
            <w:rStyle w:val="Hyperlink"/>
          </w:rPr>
          <w:t xml:space="preserve">[11]</w:t>
        </w:r>
      </w:hyperlink>
      <w:r>
        <w:t xml:space="preserve">.</w:t>
      </w:r>
    </w:p>
    <w:p>
      <w:pPr>
        <w:pStyle w:val="Heading2"/>
      </w:pPr>
      <w:r>
        <w:t xml:space="preserve">3. Graph Neural Networks and Multi-Hop Reasoning</w:t>
      </w:r>
    </w:p>
    <w:p>
      <w:pPr>
        <w:pStyle w:val="Heading3"/>
      </w:pPr>
      <w:r>
        <w:t xml:space="preserve">3.1 Message-Passing Architectures and Attention Mechanisms</w:t>
      </w:r>
    </w:p>
    <w:p>
      <w:pPr>
        <w:pStyle w:val="FirstParagraph"/>
      </w:pPr>
      <w:r>
        <w:t xml:space="preserve">Graph Neural Networks (GNNs) enable structured reasoning through iterative message-passing, where node representations evolve through aggregation of neighbor information</w:t>
      </w:r>
      <w:r>
        <w:t xml:space="preserve"> </w:t>
      </w:r>
      <w:hyperlink w:anchor="ref-kai2026">
        <w:r>
          <w:rPr>
            <w:rStyle w:val="Hyperlink"/>
          </w:rPr>
          <w:t xml:space="preserve">[13]</w:t>
        </w:r>
      </w:hyperlink>
      <w:r>
        <w:t xml:space="preserve">. Multi-hop attention mechanisms diffuse attention scores across network paths, capturing long-range dependencies beyond immediate neighbors</w:t>
      </w:r>
      <w:r>
        <w:t xml:space="preserve"> </w:t>
      </w:r>
      <w:hyperlink w:anchor="ref-guangtao2020">
        <w:r>
          <w:rPr>
            <w:rStyle w:val="Hyperlink"/>
          </w:rPr>
          <w:t xml:space="preserve">[14]</w:t>
        </w:r>
      </w:hyperlink>
      <w:r>
        <w:t xml:space="preserve">. MAGNA (Multi-hop Attention Graph Neural Network) demonstrates that incorporating multi-hop context into attention computation achieves 5.7% relative error reduction on knowledge graph completion and represents up to 10 percentage point improvement on node classification tasks</w:t>
      </w:r>
      <w:r>
        <w:t xml:space="preserve"> </w:t>
      </w:r>
      <w:hyperlink w:anchor="ref-guangtao2020">
        <w:r>
          <w:rPr>
            <w:rStyle w:val="Hyperlink"/>
          </w:rPr>
          <w:t xml:space="preserve">[14]</w:t>
        </w:r>
      </w:hyperlink>
      <w:r>
        <w:t xml:space="preserve">.</w:t>
      </w:r>
    </w:p>
    <w:p>
      <w:pPr>
        <w:pStyle w:val="BodyText"/>
      </w:pPr>
      <w:r>
        <w:t xml:space="preserve">Recent advances address the critical over-smoothing problem inherent in deep GNNs, where excessive propagation causes node representations to become indistinguishable</w:t>
      </w:r>
      <w:r>
        <w:t xml:space="preserve"> </w:t>
      </w:r>
      <w:hyperlink w:anchor="ref-xiang2025">
        <w:r>
          <w:rPr>
            <w:rStyle w:val="Hyperlink"/>
          </w:rPr>
          <w:t xml:space="preserve">[15]</w:t>
        </w:r>
      </w:hyperlink>
      <w:r>
        <w:t xml:space="preserve">. ScaleGNN adaptively fuses multi-hop features through per-hop pure-neighbor matrices and learnable sparsity masking, achieving both improved accuracy and computational efficiency on billion-scale graphs. This approach demonstrates that selective integration of valuable multi-hop information, combined with pruning of low-relevance neighbors, preserves expressiveness while enabling scalability</w:t>
      </w:r>
      <w:r>
        <w:t xml:space="preserve"> </w:t>
      </w:r>
      <w:hyperlink w:anchor="ref-xiang2025">
        <w:r>
          <w:rPr>
            <w:rStyle w:val="Hyperlink"/>
          </w:rPr>
          <w:t xml:space="preserve">[15]</w:t>
        </w:r>
      </w:hyperlink>
      <w:r>
        <w:t xml:space="preserve">.</w:t>
      </w:r>
    </w:p>
    <w:p>
      <w:pPr>
        <w:pStyle w:val="Heading3"/>
      </w:pPr>
      <w:r>
        <w:t xml:space="preserve">3.2 Multi-Hop Reasoning Frameworks</w:t>
      </w:r>
    </w:p>
    <w:p>
      <w:pPr>
        <w:pStyle w:val="FirstParagraph"/>
      </w:pPr>
      <w:r>
        <w:t xml:space="preserve">Explicit multi-hop reasoning frameworks systematically integrate knowledge from multiple sources to answer complex questions. KIFGraph constructs semantic knowledge and contextual information fusion graphs at multiple granularity levels (question, paragraph, sentence, entity), using masked attention mechanisms to filter noisy or redundant edges during stepwise reasoning</w:t>
      </w:r>
      <w:r>
        <w:t xml:space="preserve"> </w:t>
      </w:r>
      <w:hyperlink w:anchor="ref-zhenyun2022">
        <w:r>
          <w:rPr>
            <w:rStyle w:val="Hyperlink"/>
          </w:rPr>
          <w:t xml:space="preserve">[16]</w:t>
        </w:r>
      </w:hyperlink>
      <w:r>
        <w:t xml:space="preserve">. This structured approach to multi-hop reasoning outperforms standard GNN-based methods on HotpotQA and demonstrates that explicit step-by-step reasoning with transparent edge filtering improves both accuracy and interpretability.</w:t>
      </w:r>
    </w:p>
    <w:p>
      <w:pPr>
        <w:pStyle w:val="BodyText"/>
      </w:pPr>
      <w:r>
        <w:t xml:space="preserve">StepChain GraphRAG unites question decomposition with breadth-first search reasoning flows, parsing retrieved passages on-the-fly into knowledge graphs and dynamically expanding along relevant edges to assemble explicit evidence chains</w:t>
      </w:r>
      <w:r>
        <w:t xml:space="preserve"> </w:t>
      </w:r>
      <w:hyperlink w:anchor="ref-tengjun2025">
        <w:r>
          <w:rPr>
            <w:rStyle w:val="Hyperlink"/>
          </w:rPr>
          <w:t xml:space="preserve">[17]</w:t>
        </w:r>
      </w:hyperlink>
      <w:r>
        <w:t xml:space="preserve">. Experiments demonstrate state-of-the-art results on multiple multi-hop benchmarks, with 4.70% EM improvement and 3.44% F1 improvement on HotpotQA. The approach's preservation of chain-of-thought across intermediate retrieval steps enables transparent explainability while maintaining competitive accuracy.</w:t>
      </w:r>
    </w:p>
    <w:p>
      <w:pPr>
        <w:pStyle w:val="Heading3"/>
      </w:pPr>
      <w:r>
        <w:t xml:space="preserve">3.3 Addressing Knowledge Incompleteness and Path Constraints</w:t>
      </w:r>
    </w:p>
    <w:p>
      <w:pPr>
        <w:pStyle w:val="FirstParagraph"/>
      </w:pPr>
      <w:r>
        <w:t xml:space="preserve">Multi-hop knowledge graph question answering (KGQA) faces fundamental challenges when knowledge graphs exhibit incompleteness or missing crucial bridge entities connecting disjoint graph components</w:t>
      </w:r>
      <w:r>
        <w:t xml:space="preserve"> </w:t>
      </w:r>
      <w:hyperlink w:anchor="ref-kai2025">
        <w:r>
          <w:rPr>
            <w:rStyle w:val="Hyperlink"/>
          </w:rPr>
          <w:t xml:space="preserve">[18]</w:t>
        </w:r>
      </w:hyperlink>
      <w:r>
        <w:t xml:space="preserve">. Iterative retrieval strategies repeatedly select evidence in multiple rounds, with bridge-guided dual-thought-based retrieval (BDTR) explicitly generating complementary reasoning thoughts and leveraging reasoning chains to recalibrate rankings and promote bridge evidence into leading positions. This framework consistently improves performance across diverse GraphRAG settings by addressing the critical bottleneck that bridge evidence, if buried too deep, cannot effectively support reasoning chains</w:t>
      </w:r>
      <w:r>
        <w:t xml:space="preserve"> </w:t>
      </w:r>
      <w:hyperlink w:anchor="ref-kai2025">
        <w:r>
          <w:rPr>
            <w:rStyle w:val="Hyperlink"/>
          </w:rPr>
          <w:t xml:space="preserve">[18]</w:t>
        </w:r>
      </w:hyperlink>
      <w:r>
        <w:t xml:space="preserve">.</w:t>
      </w:r>
    </w:p>
    <w:p>
      <w:pPr>
        <w:pStyle w:val="BodyText"/>
      </w:pPr>
      <w:r>
        <w:t xml:space="preserve">DRKG (Decomposed Reasoning over Knowledge Graph) introduces explicit reasoning plans as logical boundary controllers for constrained multi-hop reasoning</w:t>
      </w:r>
      <w:r>
        <w:t xml:space="preserve"> </w:t>
      </w:r>
      <w:hyperlink w:anchor="ref-yan2025">
        <w:r>
          <w:rPr>
            <w:rStyle w:val="Hyperlink"/>
          </w:rPr>
          <w:t xml:space="preserve">[19]</w:t>
        </w:r>
      </w:hyperlink>
      <w:r>
        <w:t xml:space="preserve">. By generating hop-constrained reasoning plans through LLM-based semantic parsing, DRKG explicitly defines traversal path length and entity-retrieval logic, achieving 1-5% accuracy improvements while substantially enhancing interpretability. This approach demonstrates that constraining multi-hop reasoning to explicit, verified paths reduces spurious reasoning chains and hallucinations while maintaining or improving accuracy</w:t>
      </w:r>
      <w:r>
        <w:t xml:space="preserve"> </w:t>
      </w:r>
      <w:hyperlink w:anchor="ref-yan2025">
        <w:r>
          <w:rPr>
            <w:rStyle w:val="Hyperlink"/>
          </w:rPr>
          <w:t xml:space="preserve">[19]</w:t>
        </w:r>
      </w:hyperlink>
      <w:r>
        <w:t xml:space="preserve">.</w:t>
      </w:r>
    </w:p>
    <w:p>
      <w:pPr>
        <w:pStyle w:val="Heading2"/>
      </w:pPr>
      <w:r>
        <w:t xml:space="preserve">4. Semantic Retrieval and Integrated Vector-Graph Systems</w:t>
      </w:r>
    </w:p>
    <w:p>
      <w:pPr>
        <w:pStyle w:val="Heading3"/>
      </w:pPr>
      <w:r>
        <w:t xml:space="preserve">4.1 Dense Vector Embeddings and Semantic Similarity</w:t>
      </w:r>
    </w:p>
    <w:p>
      <w:pPr>
        <w:pStyle w:val="FirstParagraph"/>
      </w:pPr>
      <w:r>
        <w:t xml:space="preserve">Dense passage retrieval through neural embeddings represents the foundation of modern semantic information retrieval</w:t>
      </w:r>
      <w:r>
        <w:t xml:space="preserve"> </w:t>
      </w:r>
      <w:hyperlink w:anchor="ref-janardhan2025">
        <w:r>
          <w:rPr>
            <w:rStyle w:val="Hyperlink"/>
          </w:rPr>
          <w:t xml:space="preserve">[20]</w:t>
        </w:r>
      </w:hyperlink>
      <w:r>
        <w:t xml:space="preserve">. Pre-trained transformer models (BERT, DeBERTa, T5-based encoders) generate contextual embeddings capturing semantic nuances beyond keyword matching. EASE-DR addresses representation anisotropy in BERT embeddings through variational auto-encoder sampling and supervised contrastive learning, achieving superior retrieval performance by generating isotropic embeddings that uniformly utilize vector space dimensions</w:t>
      </w:r>
      <w:r>
        <w:t xml:space="preserve"> </w:t>
      </w:r>
      <w:hyperlink w:anchor="ref-xixi2024">
        <w:r>
          <w:rPr>
            <w:rStyle w:val="Hyperlink"/>
          </w:rPr>
          <w:t xml:space="preserve">[21]</w:t>
        </w:r>
      </w:hyperlink>
      <w:r>
        <w:t xml:space="preserve">.</w:t>
      </w:r>
    </w:p>
    <w:p>
      <w:pPr>
        <w:pStyle w:val="BodyText"/>
      </w:pPr>
      <w:r>
        <w:t xml:space="preserve">Sentence-level embeddings when properly configured through dense passage retrieval achieve substantial improvements in context relevance and reducing hallucination compared to direct LLM answering</w:t>
      </w:r>
      <w:r>
        <w:t xml:space="preserve"> </w:t>
      </w:r>
      <w:hyperlink w:anchor="ref-suhana2026">
        <w:r>
          <w:rPr>
            <w:rStyle w:val="Hyperlink"/>
          </w:rPr>
          <w:t xml:space="preserve">[22]</w:t>
        </w:r>
      </w:hyperlink>
      <w:r>
        <w:t xml:space="preserve">. Dense retrieval's primary advantage—computational efficiency and semantic coverage—is paired with its primary limitation: inability to capture explicit relational structures or perform graph traversal. Hybrid architectures recognize this trade-off, using dense retrieval for initial candidate ranking and graph-based methods for complex reasoning.</w:t>
      </w:r>
    </w:p>
    <w:p>
      <w:pPr>
        <w:pStyle w:val="Heading3"/>
      </w:pPr>
      <w:r>
        <w:t xml:space="preserve">4.2 Hybrid Retrieval Strategies and Fusion Methods</w:t>
      </w:r>
    </w:p>
    <w:p>
      <w:pPr>
        <w:pStyle w:val="FirstParagraph"/>
      </w:pPr>
      <w:r>
        <w:t xml:space="preserve">HybRAG (Hybrid Retrieval Framework) synergistically integrates semantic node-level retrieval and structural path-level retrieval</w:t>
      </w:r>
      <w:r>
        <w:t xml:space="preserve"> </w:t>
      </w:r>
      <w:hyperlink w:anchor="ref-hyewon2026">
        <w:r>
          <w:rPr>
            <w:rStyle w:val="Hyperlink"/>
          </w:rPr>
          <w:t xml:space="preserve">[23]</w:t>
        </w:r>
      </w:hyperlink>
      <w:r>
        <w:t xml:space="preserve">. Rather than treating semantic and structural approaches as competing paradigms, HybRAG constructs hybrid subgraphs jointly reflecting semantic proximity of entities and relational structures encoded in the knowledge graph. Retrieval-augmented fine-tuning enables models to internalize advanced reasoning strategies for interpreting disparate semantic and structural signals, outperforming single-retriever baselines on WebQSP and CWQ benchmarks.</w:t>
      </w:r>
    </w:p>
    <w:p>
      <w:pPr>
        <w:pStyle w:val="BodyText"/>
      </w:pPr>
      <w:r>
        <w:t xml:space="preserve">Neural-symbolic dual-indexing architectures formulate retrieval as constrained optimization over heterogeneous index structures, employing Prize-Collecting Steiner Trees for subgraph extraction and Personalized PageRank for multi-hop traversal</w:t>
      </w:r>
      <w:r>
        <w:t xml:space="preserve"> </w:t>
      </w:r>
      <w:hyperlink w:anchor="ref-jiesi2025">
        <w:r>
          <w:rPr>
            <w:rStyle w:val="Hyperlink"/>
          </w:rPr>
          <w:t xml:space="preserve">[24]</w:t>
        </w:r>
      </w:hyperlink>
      <w:r>
        <w:t xml:space="preserve">. This approach reconciles the fundamental tension between semantic comprehensiveness and computational tractability at billion-token scale. Selective skeleton construction from top 20% of chunks—identified via eigenvector centrality—achieves 10× cost reduction relative to exhaustive knowledge graph construction while improving generation quality by 32.4% and retrieval coverage by 92.4%.</w:t>
      </w:r>
    </w:p>
    <w:p>
      <w:pPr>
        <w:pStyle w:val="Heading3"/>
      </w:pPr>
      <w:r>
        <w:t xml:space="preserve">4.3 Multimodal and Cross-Modal Retrieval</w:t>
      </w:r>
    </w:p>
    <w:p>
      <w:pPr>
        <w:pStyle w:val="FirstParagraph"/>
      </w:pPr>
      <w:r>
        <w:t xml:space="preserve">Adaptive Knowledge Retrieval in Multimodal GraphRAG extends graph-based approaches to integrate textual and illustration content into unified knowledge graphs</w:t>
      </w:r>
      <w:r>
        <w:t xml:space="preserve"> </w:t>
      </w:r>
      <w:hyperlink w:anchor="ref-d2026">
        <w:r>
          <w:rPr>
            <w:rStyle w:val="Hyperlink"/>
          </w:rPr>
          <w:t xml:space="preserve">[25]</w:t>
        </w:r>
      </w:hyperlink>
      <w:r>
        <w:t xml:space="preserve">. The framework supports client-driven customization at graph construction (relationship-building strategies) and query time (retrieval scope selection). Multimodal queries undergo specialized reranking after LLM inference to optimize relevance and coherence across modalities, enabling context-rich augmentation that addresses limitations of existing text-centric GraphRAG approaches.</w:t>
      </w:r>
    </w:p>
    <w:p>
      <w:pPr>
        <w:pStyle w:val="BodyText"/>
      </w:pPr>
      <w:r>
        <w:t xml:space="preserve">MMGraphRAG bridges vision and language through interpretable multimodal knowledge graphs via spectral clustering for accurate cross-modal entity linking and path-based retrieval to guide generation</w:t>
      </w:r>
      <w:r>
        <w:t xml:space="preserve"> </w:t>
      </w:r>
      <w:hyperlink w:anchor="ref-xueyao2025">
        <w:r>
          <w:rPr>
            <w:rStyle w:val="Hyperlink"/>
          </w:rPr>
          <w:t xml:space="preserve">[26]</w:t>
        </w:r>
      </w:hyperlink>
      <w:r>
        <w:t xml:space="preserve">. The introduction of the CMEL dataset enables evaluation of fine-grained multi-entity alignment in complex multimodal scenarios. Experiments demonstrate state-of-the-art performance on CMEL, DocBench, and MMLongBench, with superior domain adaptability and multimodal information processing capabilities compared to unimodal GraphRAG systems.</w:t>
      </w:r>
    </w:p>
    <w:p>
      <w:pPr>
        <w:pStyle w:val="Heading2"/>
      </w:pPr>
      <w:r>
        <w:t xml:space="preserve">5. Application Domains: Commercial, Government, Academic, and Defense</w:t>
      </w:r>
    </w:p>
    <w:p>
      <w:pPr>
        <w:pStyle w:val="Heading3"/>
      </w:pPr>
      <w:r>
        <w:t xml:space="preserve">5.1 Commercial Enterprise Applications</w:t>
      </w:r>
    </w:p>
    <w:p>
      <w:pPr>
        <w:pStyle w:val="FirstParagraph"/>
      </w:pPr>
      <w:r>
        <w:t xml:space="preserve">Commercial deployments of GraphRAG emphasize explainability, accuracy, and efficiency within decision support systems. Transforming AI Decision Support Systems with Knowledge Graphs integrates KGs and Context-Aware Graphs to enhance AI-driven decision-making in business intelligence, financial analysis, and strategic policymaking</w:t>
      </w:r>
      <w:r>
        <w:t xml:space="preserve"> </w:t>
      </w:r>
      <w:hyperlink w:anchor="ref-saiyam2025">
        <w:r>
          <w:rPr>
            <w:rStyle w:val="Hyperlink"/>
          </w:rPr>
          <w:t xml:space="preserve">[27]</w:t>
        </w:r>
      </w:hyperlink>
      <w:r>
        <w:t xml:space="preserve">. A hybrid framework maps knowledge graphs to improve contextual understanding of LLMs, optimizing information retrieval and similarity-based search. Comparative analysis with conventional RDBMS-based AI models demonstrates significant improvements in query accuracy, explainability, and relevance.</w:t>
      </w:r>
    </w:p>
    <w:p>
      <w:pPr>
        <w:pStyle w:val="BodyText"/>
      </w:pPr>
      <w:r>
        <w:t xml:space="preserve">Business Decision Support Systems incorporating hybrid prediction models (LSTM + XGBoost) combined with business knowledge graphs achieve substantial practical gains: 23.5% error reduction in sales forecasting, risk assessment warnings 2-4 weeks in advance, 15.2% click-through rate improvement, 22.5% conversion rate increase, and 12.6% inventory holding cost reduction</w:t>
      </w:r>
      <w:r>
        <w:t xml:space="preserve"> </w:t>
      </w:r>
      <w:hyperlink w:anchor="ref-yuxin2025">
        <w:r>
          <w:rPr>
            <w:rStyle w:val="Hyperlink"/>
          </w:rPr>
          <w:t xml:space="preserve">[28]</w:t>
        </w:r>
      </w:hyperlink>
      <w:r>
        <w:t xml:space="preserve">. These systems construct multi-entity, multi-relation knowledge graphs representing heterogeneous information from financial, market, and operational dimensions, enabling interpretable decision objectives with both numerical accuracy and causal consistency.</w:t>
      </w:r>
    </w:p>
    <w:p>
      <w:pPr>
        <w:pStyle w:val="BodyText"/>
      </w:pPr>
      <w:r>
        <w:t xml:space="preserve">Intelligent recruitment decision support systems combining Transformers with knowledge graphs improve recruitment quality by establishing knowledge bases of job requirements and competency characteristics</w:t>
      </w:r>
      <w:r>
        <w:t xml:space="preserve"> </w:t>
      </w:r>
      <w:hyperlink w:anchor="ref-xiaoman2024">
        <w:r>
          <w:rPr>
            <w:rStyle w:val="Hyperlink"/>
          </w:rPr>
          <w:t xml:space="preserve">[29]</w:t>
        </w:r>
      </w:hyperlink>
      <w:r>
        <w:t xml:space="preserve">. Experiments show maximum prediction error of 7.9% for matching degree estimation, with systems providing both candidate matching scores and skill analysis for informed HR decision-making. The integration of transformer comprehension capabilities with structured knowledge representation enables both high accuracy and explainability in sensitive personnel decisions.</w:t>
      </w:r>
    </w:p>
    <w:p>
      <w:pPr>
        <w:pStyle w:val="Heading3"/>
      </w:pPr>
      <w:r>
        <w:t xml:space="preserve">5.2 Healthcare and Clinical Decision Support Systems</w:t>
      </w:r>
    </w:p>
    <w:p>
      <w:pPr>
        <w:pStyle w:val="FirstParagraph"/>
      </w:pPr>
      <w:r>
        <w:t xml:space="preserve">Healthcare represents the most mature application domain for GraphRAG-based clinical decision support, where structured knowledge is both abundant (clinical guidelines, ontologies, Electronic Health Records) and critical (diagnosis requires multi-faceted reasoning). EHR-oriented knowledge graph systems for collaborative clinical decision-making integrate multicenter fragmented patient data while preserving privacy through blockchain-based intermediate finding synchronization</w:t>
      </w:r>
      <w:r>
        <w:t xml:space="preserve"> </w:t>
      </w:r>
      <w:hyperlink w:anchor="ref-y2024">
        <w:r>
          <w:rPr>
            <w:rStyle w:val="Hyperlink"/>
          </w:rPr>
          <w:t xml:space="preserve">[30]</w:t>
        </w:r>
      </w:hyperlink>
      <w:r>
        <w:t xml:space="preserve">. A study involving 1,185 patients across three hospitals identified 124 patients meeting chronic kidney disease (CKD) diagnosis criteria through collaborative reasoning; individual hospital data alone could not achieve this identification. Clinician assessment indicated 86% of identified patients were CKD-positive, demonstrating clinical utility.</w:t>
      </w:r>
    </w:p>
    <w:p>
      <w:pPr>
        <w:pStyle w:val="BodyText"/>
      </w:pPr>
      <w:r>
        <w:t xml:space="preserve">Clinical decision support systems for hypertension medication combine knowledge graphs with established guidelines to provide medication recommendations with 91% recall, 83% hit@3, and 77% MRR on 124 real clinical cases</w:t>
      </w:r>
      <w:r>
        <w:t xml:space="preserve"> </w:t>
      </w:r>
      <w:hyperlink w:anchor="ref-gengxian2022">
        <w:r>
          <w:rPr>
            <w:rStyle w:val="Hyperlink"/>
          </w:rPr>
          <w:t xml:space="preserve">[31]</w:t>
        </w:r>
      </w:hyperlink>
      <w:r>
        <w:t xml:space="preserve">. Beyond metrics, the system achieves critical objectives: medication recommendations are highly visualized and explainable through knowledge graph reasoning paths, supporting both clinical decision-making and knowledge management. Such systems prove particularly valuable where clinical complexity, multiple comorbidities, and medication interactions create decision spaces too large for unaided human cognition.</w:t>
      </w:r>
    </w:p>
    <w:p>
      <w:pPr>
        <w:pStyle w:val="BodyText"/>
      </w:pPr>
      <w:r>
        <w:t xml:space="preserve">Compositional knowledge graphs for pediatric allergy diagnostics demonstrate GraphRAG utility in specialized clinical subdomains</w:t>
      </w:r>
      <w:r>
        <w:t xml:space="preserve"> </w:t>
      </w:r>
      <w:hyperlink w:anchor="ref-yousef2025">
        <w:r>
          <w:rPr>
            <w:rStyle w:val="Hyperlink"/>
          </w:rPr>
          <w:t xml:space="preserve">[32]</w:t>
        </w:r>
      </w:hyperlink>
      <w:r>
        <w:t xml:space="preserve">. LLM-extracted clinical entities are organized into Neo4j knowledge graphs representing patients, allergens, and symptoms. Cypher queries identify prevalent allergens, symptom-allergen associations, and predict unseen allergies through pattern analysis. Network analysis reveals key allergen hubs and co-occurring patterns, with transparent insights into complex allergen-symptom relationships supporting enhanced clinical decision-making.</w:t>
      </w:r>
    </w:p>
    <w:p>
      <w:pPr>
        <w:pStyle w:val="Heading3"/>
      </w:pPr>
      <w:r>
        <w:t xml:space="preserve">5.3 Government and Regulatory Compliance</w:t>
      </w:r>
    </w:p>
    <w:p>
      <w:pPr>
        <w:pStyle w:val="FirstParagraph"/>
      </w:pPr>
      <w:r>
        <w:t xml:space="preserve">Government applications emphasize compliance verification, regulatory reasoning, and explainable policy implementation. RAGulating Compliance presents a multi-agent framework integrating Knowledge Graphs of regulatory triplets with RAG to address regulatory compliance question answering</w:t>
      </w:r>
      <w:r>
        <w:t xml:space="preserve"> </w:t>
      </w:r>
      <w:hyperlink w:anchor="ref-bhavik2025">
        <w:r>
          <w:rPr>
            <w:rStyle w:val="Hyperlink"/>
          </w:rPr>
          <w:t xml:space="preserve">[33]</w:t>
        </w:r>
      </w:hyperlink>
      <w:r>
        <w:t xml:space="preserve">. Agents construct and maintain ontology-free KGs through systematic extraction, cleaning, normalization, and updating of subject-predicate-object triplets from regulatory documents. These triplets are embedded and stored in enriched vector databases alongside textual sections and metadata, enabling both graph-based reasoning and efficient information retrieval. The hybrid system outperforms conventional methods in complex regulatory queries, ensuring factual correctness, enabling traceability through triplet embeddings, and providing subgraph visualization for enhanced understanding.</w:t>
      </w:r>
    </w:p>
    <w:p>
      <w:pPr>
        <w:pStyle w:val="BodyText"/>
      </w:pPr>
      <w:r>
        <w:t xml:space="preserve">Electronic government (e-government) systems employ modular multi-agent GraphRAG frameworks to enhance policy-focused question answering</w:t>
      </w:r>
      <w:r>
        <w:t xml:space="preserve"> </w:t>
      </w:r>
      <w:hyperlink w:anchor="ref-george2025">
        <w:r>
          <w:rPr>
            <w:rStyle w:val="Hyperlink"/>
          </w:rPr>
          <w:t xml:space="preserve">[34]</w:t>
        </w:r>
      </w:hyperlink>
      <w:r>
        <w:t xml:space="preserve">. Research demonstrates how integrating standard RAG, embedding-based retrieval, real-time web search, and LLM-generated graphs optimizes information discovery from complex governmental datasets. The framework reinforces factual grounding, reduces hallucinations, and enhances response quality for complex government queries through comprehensive context integration.</w:t>
      </w:r>
    </w:p>
    <w:p>
      <w:pPr>
        <w:pStyle w:val="Heading3"/>
      </w:pPr>
      <w:r>
        <w:t xml:space="preserve">5.4 Defense and Security Applications</w:t>
      </w:r>
    </w:p>
    <w:p>
      <w:pPr>
        <w:pStyle w:val="FirstParagraph"/>
      </w:pPr>
      <w:r>
        <w:t xml:space="preserve">Defense applications require robust reasoning under adversarial conditions, rapid decision-making, and explainable intelligence synthesis. Augmenting Orbital Debris Identification with Neo4j-enabled GraphRAG demonstrates GraphRAG utility for specialized domain detection tasks</w:t>
      </w:r>
      <w:r>
        <w:t xml:space="preserve"> </w:t>
      </w:r>
      <w:hyperlink w:anchor="ref-daniel2025">
        <w:r>
          <w:rPr>
            <w:rStyle w:val="Hyperlink"/>
          </w:rPr>
          <w:t xml:space="preserve">[35]</w:t>
        </w:r>
      </w:hyperlink>
      <w:r>
        <w:t xml:space="preserve">. A multimodal LLM (LLaVA) is enhanced through context-aware retrieval from Neo4j graph databases constructed from relevant research papers. The system extracts, summarizes, and embeds papers into the database with API-powered LLM-generated relationships, enabling contextual ranking of documents for prompt engineering during inference. Qualitative results indicate GraphRAG inclusion achieves successful detection with reduced hallucinations compared to LLM-only approaches.</w:t>
      </w:r>
    </w:p>
    <w:p>
      <w:pPr>
        <w:pStyle w:val="BodyText"/>
      </w:pPr>
      <w:r>
        <w:t xml:space="preserve">Graph-based anomaly detection in network intrusion systems combines temporal communication graphs with edge-aware GNNs (TE-G-SAGE) based on GraphSAGE architecture</w:t>
      </w:r>
      <w:r>
        <w:t xml:space="preserve"> </w:t>
      </w:r>
      <w:hyperlink w:anchor="ref-riko2025">
        <w:r>
          <w:rPr>
            <w:rStyle w:val="Hyperlink"/>
          </w:rPr>
          <w:t xml:space="preserve">[36]</w:t>
        </w:r>
      </w:hyperlink>
      <w:r>
        <w:t xml:space="preserve">. Using NF-UNSW-NB15-v3 NetFlow data transformed into temporal graphs where flows are directed edges and endpoints are nodes, the model learns relational patterns across two-hop neighborhoods and achieves strong recall under chronological evaluation. Temporal validation, inductive graph modeling, and SHAP-based attribution provide transparent, reproducible intrusion detection suitable for operational use with explainability supporting analyst understanding.</w:t>
      </w:r>
    </w:p>
    <w:p>
      <w:pPr>
        <w:pStyle w:val="Heading2"/>
      </w:pPr>
      <w:r>
        <w:t xml:space="preserve">6. Best Practices for Unified Reasoning Systems</w:t>
      </w:r>
    </w:p>
    <w:p>
      <w:pPr>
        <w:pStyle w:val="Heading3"/>
      </w:pPr>
      <w:r>
        <w:t xml:space="preserve">6.1 Data Pipeline Quality and Management</w:t>
      </w:r>
    </w:p>
    <w:p>
      <w:pPr>
        <w:pStyle w:val="FirstParagraph"/>
      </w:pPr>
      <w:r>
        <w:t xml:space="preserve">Effective GraphRAG systems require systematic data quality management across the entire pipeline. Best practices include: (1)</w:t>
      </w:r>
      <w:r>
        <w:t xml:space="preserve"> </w:t>
      </w:r>
      <w:r>
        <w:rPr>
          <w:b/>
          <w:bCs/>
        </w:rPr>
        <w:t xml:space="preserve">Incremental Processing</w:t>
      </w:r>
      <w:r>
        <w:t xml:space="preserve">: Implement mechanisms for continuous knowledge base updates without complete reprocessing, reducing latency and computational overhead</w:t>
      </w:r>
      <w:r>
        <w:t xml:space="preserve"> </w:t>
      </w:r>
      <w:hyperlink w:anchor="ref-dong2025">
        <w:r>
          <w:rPr>
            <w:rStyle w:val="Hyperlink"/>
          </w:rPr>
          <w:t xml:space="preserve">[37]</w:t>
        </w:r>
      </w:hyperlink>
      <w:r>
        <w:t xml:space="preserve">; (2)</w:t>
      </w:r>
      <w:r>
        <w:t xml:space="preserve"> </w:t>
      </w:r>
      <w:r>
        <w:rPr>
          <w:b/>
          <w:bCs/>
        </w:rPr>
        <w:t xml:space="preserve">Deduplication and Normalization</w:t>
      </w:r>
      <w:r>
        <w:t xml:space="preserve">: Apply entity linking to resolve coreferences and normalize representations across diverse data sources; (3)</w:t>
      </w:r>
      <w:r>
        <w:t xml:space="preserve"> </w:t>
      </w:r>
      <w:r>
        <w:rPr>
          <w:b/>
          <w:bCs/>
        </w:rPr>
        <w:t xml:space="preserve">Quality Checkpoints</w:t>
      </w:r>
      <w:r>
        <w:t xml:space="preserve">: Validate entity/relation extraction quality through automated metrics and sampling-based human evaluation; (4)</w:t>
      </w:r>
      <w:r>
        <w:t xml:space="preserve"> </w:t>
      </w:r>
      <w:r>
        <w:rPr>
          <w:b/>
          <w:bCs/>
        </w:rPr>
        <w:t xml:space="preserve">Versioning and Rollback</w:t>
      </w:r>
      <w:r>
        <w:t xml:space="preserve">: Maintain versioned knowledge graphs enabling rollback to verified states if updates introduce errors</w:t>
      </w:r>
      <w:r>
        <w:t xml:space="preserve"> </w:t>
      </w:r>
      <w:hyperlink w:anchor="ref-hairong2025">
        <w:r>
          <w:rPr>
            <w:rStyle w:val="Hyperlink"/>
          </w:rPr>
          <w:t xml:space="preserve">[7]</w:t>
        </w:r>
      </w:hyperlink>
      <w:r>
        <w:t xml:space="preserve">.</w:t>
      </w:r>
    </w:p>
    <w:p>
      <w:pPr>
        <w:pStyle w:val="BodyText"/>
      </w:pPr>
      <w:r>
        <w:t xml:space="preserve">Temporal Knowledge Graph updates employ time-stamped evolving structures with incremental update mechanisms, minimizing recomputation by extracting new temporal facts and merging them into existing graphs</w:t>
      </w:r>
      <w:r>
        <w:t xml:space="preserve"> </w:t>
      </w:r>
      <w:hyperlink w:anchor="ref-jiale2025">
        <w:r>
          <w:rPr>
            <w:rStyle w:val="Hyperlink"/>
          </w:rPr>
          <w:t xml:space="preserve">[38]</w:t>
        </w:r>
      </w:hyperlink>
      <w:r>
        <w:t xml:space="preserve">. This approach ensures effective handling of evolving knowledge while maintaining query stability and update efficiency.</w:t>
      </w:r>
    </w:p>
    <w:p>
      <w:pPr>
        <w:pStyle w:val="Heading3"/>
      </w:pPr>
      <w:r>
        <w:t xml:space="preserve">6.2 Multi-Strategy Retrieval Selection and Fusion</w:t>
      </w:r>
    </w:p>
    <w:p>
      <w:pPr>
        <w:pStyle w:val="FirstParagraph"/>
      </w:pPr>
      <w:r>
        <w:t xml:space="preserve">Rather than defaulting to complex graph-based reasoning for all queries, adaptive systems select appropriate retrieval strategies based on query characteristics.</w:t>
      </w:r>
      <w:r>
        <w:t xml:space="preserve"> </w:t>
      </w:r>
      <w:r>
        <w:rPr>
          <w:b/>
          <w:bCs/>
        </w:rPr>
        <w:t xml:space="preserve">Dense Vector Retrieval</w:t>
      </w:r>
      <w:r>
        <w:t xml:space="preserve"> </w:t>
      </w:r>
      <w:r>
        <w:t xml:space="preserve">excels for semantic matching and simple factual queries, with sub-100ms latency.</w:t>
      </w:r>
      <w:r>
        <w:t xml:space="preserve"> </w:t>
      </w:r>
      <w:r>
        <w:rPr>
          <w:b/>
          <w:bCs/>
        </w:rPr>
        <w:t xml:space="preserve">Graph-Based Retrieval</w:t>
      </w:r>
      <w:r>
        <w:t xml:space="preserve"> </w:t>
      </w:r>
      <w:r>
        <w:t xml:space="preserve">enables explicit multi-hop reasoning but incurs higher latency (100-300ms).</w:t>
      </w:r>
      <w:r>
        <w:t xml:space="preserve"> </w:t>
      </w:r>
      <w:r>
        <w:rPr>
          <w:b/>
          <w:bCs/>
        </w:rPr>
        <w:t xml:space="preserve">Keyword-Based Fallback</w:t>
      </w:r>
      <w:r>
        <w:t xml:space="preserve"> </w:t>
      </w:r>
      <w:r>
        <w:t xml:space="preserve">handles out-of-vocabulary terms and proper nouns.</w:t>
      </w:r>
      <w:r>
        <w:t xml:space="preserve"> </w:t>
      </w:r>
      <w:r>
        <w:rPr>
          <w:b/>
          <w:bCs/>
        </w:rPr>
        <w:t xml:space="preserve">Fusion Strategies</w:t>
      </w:r>
      <w:r>
        <w:t xml:space="preserve"> </w:t>
      </w:r>
      <w:r>
        <w:t xml:space="preserve">combine multiple approaches through learned weights or cascading pipelines</w:t>
      </w:r>
      <w:r>
        <w:t xml:space="preserve"> </w:t>
      </w:r>
      <w:hyperlink w:anchor="ref-su2026">
        <w:r>
          <w:rPr>
            <w:rStyle w:val="Hyperlink"/>
          </w:rPr>
          <w:t xml:space="preserve">[2]</w:t>
        </w:r>
      </w:hyperlink>
      <w:r>
        <w:t xml:space="preserve">.</w:t>
      </w:r>
    </w:p>
    <w:p>
      <w:pPr>
        <w:pStyle w:val="BodyText"/>
      </w:pPr>
      <w:r>
        <w:t xml:space="preserve">Query Complexity Analysis enables adaptive routing: EA-GraphRAG employs syntactic feature extraction to compute continuous complexity scores, routing simple queries to dense retrieval (50ms latency, ~75% accuracy) and complex queries to GraphRAG (200ms latency, ~88% accuracy). This adaptive approach achieves both superior efficiency and accuracy compared to single-strategy baselines</w:t>
      </w:r>
      <w:r>
        <w:t xml:space="preserve"> </w:t>
      </w:r>
      <w:hyperlink w:anchor="ref-su2026">
        <w:r>
          <w:rPr>
            <w:rStyle w:val="Hyperlink"/>
          </w:rPr>
          <w:t xml:space="preserve">[2]</w:t>
        </w:r>
      </w:hyperlink>
      <w:r>
        <w:t xml:space="preserve">.</w:t>
      </w:r>
    </w:p>
    <w:p>
      <w:pPr>
        <w:pStyle w:val="Heading3"/>
      </w:pPr>
      <w:r>
        <w:t xml:space="preserve">6.3 Hallucination Detection and Mitigation</w:t>
      </w:r>
    </w:p>
    <w:p>
      <w:pPr>
        <w:pStyle w:val="FirstParagraph"/>
      </w:pPr>
      <w:r>
        <w:t xml:space="preserve">Hallucination—where LLMs generate plausible but false outputs—remains a critical challenge in RAG systems. GraphRAG substantially reduces hallucinations through grounding answers in retrieved evidence, but residual hallucinations persist. Detection mechanisms include: (1)</w:t>
      </w:r>
      <w:r>
        <w:t xml:space="preserve"> </w:t>
      </w:r>
      <w:r>
        <w:rPr>
          <w:b/>
          <w:bCs/>
        </w:rPr>
        <w:t xml:space="preserve">Semantic Alignment Scoring</w:t>
      </w:r>
      <w:r>
        <w:t xml:space="preserve">: Measure consistency between LLM outputs and retrieved graph structure; (2)</w:t>
      </w:r>
      <w:r>
        <w:t xml:space="preserve"> </w:t>
      </w:r>
      <w:r>
        <w:rPr>
          <w:b/>
          <w:bCs/>
        </w:rPr>
        <w:t xml:space="preserve">Path Reliance Analysis</w:t>
      </w:r>
      <w:r>
        <w:t xml:space="preserve">: Detect over-reliance on shortest-path triples indicating potential false shortcuts</w:t>
      </w:r>
      <w:r>
        <w:t xml:space="preserve"> </w:t>
      </w:r>
      <w:hyperlink w:anchor="ref-shanghao2025">
        <w:r>
          <w:rPr>
            <w:rStyle w:val="Hyperlink"/>
          </w:rPr>
          <w:t xml:space="preserve">[39]</w:t>
        </w:r>
      </w:hyperlink>
      <w:r>
        <w:t xml:space="preserve">; (3)</w:t>
      </w:r>
      <w:r>
        <w:t xml:space="preserve"> </w:t>
      </w:r>
      <w:r>
        <w:rPr>
          <w:b/>
          <w:bCs/>
        </w:rPr>
        <w:t xml:space="preserve">Attribution Verification</w:t>
      </w:r>
      <w:r>
        <w:t xml:space="preserve">: Require explicit evidence chains supporting each claim; (4)</w:t>
      </w:r>
      <w:r>
        <w:t xml:space="preserve"> </w:t>
      </w:r>
      <w:r>
        <w:rPr>
          <w:b/>
          <w:bCs/>
        </w:rPr>
        <w:t xml:space="preserve">Confidence Scoring</w:t>
      </w:r>
      <w:r>
        <w:t xml:space="preserve">: Generate confidence intervals for predictions using Bayesian methods or ensemble disagreement.</w:t>
      </w:r>
    </w:p>
    <w:p>
      <w:pPr>
        <w:pStyle w:val="BodyText"/>
      </w:pPr>
      <w:r>
        <w:t xml:space="preserve">Graph Grounding and Alignment (GGA) identifies hallucinations through mechanistic interpretability, measuring path reliance degree (PRD) and semantic alignment score (SAS)</w:t>
      </w:r>
      <w:r>
        <w:t xml:space="preserve"> </w:t>
      </w:r>
      <w:hyperlink w:anchor="ref-shanghao2025">
        <w:r>
          <w:rPr>
            <w:rStyle w:val="Hyperlink"/>
          </w:rPr>
          <w:t xml:space="preserve">[39]</w:t>
        </w:r>
      </w:hyperlink>
      <w:r>
        <w:t xml:space="preserve">. Lightweight post-hoc detection outperforms strong semantic and confidence-based baselines across AUC and F1 metrics. These approaches grounding hallucination analysis in interpretability provide actionable insights for designing more reliable GraphRAG systems.</w:t>
      </w:r>
    </w:p>
    <w:p>
      <w:pPr>
        <w:pStyle w:val="Heading3"/>
      </w:pPr>
      <w:r>
        <w:t xml:space="preserve">6.4 Ontology Layer Integration and Constraints</w:t>
      </w:r>
    </w:p>
    <w:p>
      <w:pPr>
        <w:pStyle w:val="FirstParagraph"/>
      </w:pPr>
      <w:r>
        <w:t xml:space="preserve">Unified reasoning systems integrate ontology layers providing formal semantic constraints, domain-specific rules, and logical consistency guarantees. Synergistic integration combines knowledge graphs' semantic representation with ontological reasoning for enhanced XAI-based clinical decision support</w:t>
      </w:r>
      <w:r>
        <w:t xml:space="preserve"> </w:t>
      </w:r>
      <w:hyperlink w:anchor="ref-chaelim2025">
        <w:r>
          <w:rPr>
            <w:rStyle w:val="Hyperlink"/>
          </w:rPr>
          <w:t xml:space="preserve">[40]</w:t>
        </w:r>
      </w:hyperlink>
      <w:r>
        <w:t xml:space="preserve">. Joint KG-LLM models achieve up to 12.0% accuracy increase and 8.6% F1 improvement on mental health etiology, stress detection, and emotion recognition compared to standalone LLMs.</w:t>
      </w:r>
    </w:p>
    <w:p>
      <w:pPr>
        <w:pStyle w:val="BodyText"/>
      </w:pPr>
      <w:r>
        <w:t xml:space="preserve">Neuro-Symbolic integration of LLMs with symbolic knowledge graphs and constraint-aware planning enables robust decision support in high-stakes environments</w:t>
      </w:r>
      <w:r>
        <w:t xml:space="preserve"> </w:t>
      </w:r>
      <w:hyperlink w:anchor="ref-amit2025">
        <w:r>
          <w:rPr>
            <w:rStyle w:val="Hyperlink"/>
          </w:rPr>
          <w:t xml:space="preserve">[41]</w:t>
        </w:r>
      </w:hyperlink>
      <w:r>
        <w:t xml:space="preserve">. Healthcare and manufacturing applications demonstrate that hybrid approaches bridge unstructured language generation and formal reasoning, enhancing reliability through enforcement of safety standards, regulatory compliance, and logical consistency. Domain-specific ontologies provide semantic grounding ensuring that graph-based reasoning respects domain constraints</w:t>
      </w:r>
      <w:r>
        <w:t xml:space="preserve"> </w:t>
      </w:r>
      <w:hyperlink w:anchor="ref-a2025">
        <w:r>
          <w:rPr>
            <w:rStyle w:val="Hyperlink"/>
          </w:rPr>
          <w:t xml:space="preserve">[6]</w:t>
        </w:r>
      </w:hyperlink>
      <w:r>
        <w:t xml:space="preserve">.</w:t>
      </w:r>
    </w:p>
    <w:p>
      <w:pPr>
        <w:pStyle w:val="Heading3"/>
      </w:pPr>
      <w:r>
        <w:t xml:space="preserve">6.5 Scalability and Performance Optimization</w:t>
      </w:r>
    </w:p>
    <w:p>
      <w:pPr>
        <w:pStyle w:val="FirstParagraph"/>
      </w:pPr>
      <w:r>
        <w:t xml:space="preserve">Large-scale deployment requires addressing computational complexity and latency constraints.</w:t>
      </w:r>
      <w:r>
        <w:t xml:space="preserve"> </w:t>
      </w:r>
      <w:r>
        <w:rPr>
          <w:b/>
          <w:bCs/>
        </w:rPr>
        <w:t xml:space="preserve">Hierarchical Community Structure</w:t>
      </w:r>
      <w:r>
        <w:t xml:space="preserve"> </w:t>
      </w:r>
      <w:r>
        <w:t xml:space="preserve">organizes large graphs into abstraction levels, supporting efficient retrieval of relevant communities without traversing entire graphs</w:t>
      </w:r>
      <w:r>
        <w:t xml:space="preserve"> </w:t>
      </w:r>
      <w:hyperlink w:anchor="ref-qian2026">
        <w:r>
          <w:rPr>
            <w:rStyle w:val="Hyperlink"/>
          </w:rPr>
          <w:t xml:space="preserve">[42]</w:t>
        </w:r>
      </w:hyperlink>
      <w:r>
        <w:t xml:space="preserve">.</w:t>
      </w:r>
      <w:r>
        <w:t xml:space="preserve"> </w:t>
      </w:r>
      <w:r>
        <w:rPr>
          <w:b/>
          <w:bCs/>
        </w:rPr>
        <w:t xml:space="preserve">Distributed Indexing</w:t>
      </w:r>
      <w:r>
        <w:t xml:space="preserve"> </w:t>
      </w:r>
      <w:r>
        <w:t xml:space="preserve">partitions graphs by entity type or domain, enabling parallel retrieval execution.</w:t>
      </w:r>
      <w:r>
        <w:t xml:space="preserve"> </w:t>
      </w:r>
      <w:r>
        <w:rPr>
          <w:b/>
          <w:bCs/>
        </w:rPr>
        <w:t xml:space="preserve">Caching Strategies</w:t>
      </w:r>
      <w:r>
        <w:t xml:space="preserve"> </w:t>
      </w:r>
      <w:r>
        <w:t xml:space="preserve">including LRU query result caching and community summary caching substantially reduce latency for repeated queries.</w:t>
      </w:r>
    </w:p>
    <w:p>
      <w:pPr>
        <w:pStyle w:val="BodyText"/>
      </w:pPr>
      <w:r>
        <w:t xml:space="preserve">Approximate methods provide efficiency gains: Approximate Nearest Neighbor (ANN) algorithms for vector similarity reduce dense retrieval latency from O(n) to O(log n) through indexing structures. Sampling-based approaches for large subgraph evaluation estimate reasoning results without exhaustive exploration. Cloud-edge deployment architectures perform core reasoning on powerful cloud infrastructure while maintaining edge caches for interactive latency (&lt;500ms)</w:t>
      </w:r>
      <w:r>
        <w:t xml:space="preserve"> </w:t>
      </w:r>
      <w:hyperlink w:anchor="ref-jiesi2025">
        <w:r>
          <w:rPr>
            <w:rStyle w:val="Hyperlink"/>
          </w:rPr>
          <w:t xml:space="preserve">[24]</w:t>
        </w:r>
      </w:hyperlink>
      <w:r>
        <w:t xml:space="preserve">.</w:t>
      </w:r>
    </w:p>
    <w:p>
      <w:pPr>
        <w:pStyle w:val="BodyText"/>
      </w:pPr>
      <w:r>
        <w:t xml:space="preserve">StructReason demonstrates token efficiency improvements through PCST-based structural refinement, reducing token consumption by 40-70% while improving F1 scores compared to standard GraphRAG and LightRAG</w:t>
      </w:r>
      <w:r>
        <w:t xml:space="preserve"> </w:t>
      </w:r>
      <w:hyperlink w:anchor="ref-shuai2025">
        <w:r>
          <w:rPr>
            <w:rStyle w:val="Hyperlink"/>
          </w:rPr>
          <w:t xml:space="preserve">[43]</w:t>
        </w:r>
      </w:hyperlink>
      <w:r>
        <w:t xml:space="preserve">. This optimization recognizes that not all graph traversals yield valuable reasoning—automatic pruning of low-value branches through combinatorial optimization (Prize-Collecting Steiner Tree formulation) maintains reasoning precision while substantially reducing computational cost.</w:t>
      </w:r>
    </w:p>
    <w:p>
      <w:pPr>
        <w:pStyle w:val="Heading3"/>
      </w:pPr>
      <w:r>
        <w:t xml:space="preserve">6.6 Evaluation and Benchmarking Frameworks</w:t>
      </w:r>
    </w:p>
    <w:p>
      <w:pPr>
        <w:pStyle w:val="FirstParagraph"/>
      </w:pPr>
      <w:r>
        <w:t xml:space="preserve">Comprehensive evaluation requires multiple complementary metrics.</w:t>
      </w:r>
      <w:r>
        <w:t xml:space="preserve"> </w:t>
      </w:r>
      <w:r>
        <w:rPr>
          <w:b/>
          <w:bCs/>
        </w:rPr>
        <w:t xml:space="preserve">Knowledge-Intensive Reasoning Benchmarks</w:t>
      </w:r>
      <w:r>
        <w:t xml:space="preserve"> </w:t>
      </w:r>
      <w:r>
        <w:t xml:space="preserve">(HotpotQA, MuSiQue, 2WikiMultiHopQA) assess multi-hop reasoning accuracy through exact match and F1 scoring.</w:t>
      </w:r>
      <w:r>
        <w:t xml:space="preserve"> </w:t>
      </w:r>
      <w:r>
        <w:rPr>
          <w:b/>
          <w:bCs/>
        </w:rPr>
        <w:t xml:space="preserve">Retrieval Metrics</w:t>
      </w:r>
      <w:r>
        <w:t xml:space="preserve"> </w:t>
      </w:r>
      <w:r>
        <w:t xml:space="preserve">(Recall@k, MRR, NDCG) measure evidence retrieval quality.</w:t>
      </w:r>
      <w:r>
        <w:t xml:space="preserve"> </w:t>
      </w:r>
      <w:r>
        <w:rPr>
          <w:b/>
          <w:bCs/>
        </w:rPr>
        <w:t xml:space="preserve">Explainability Assessment</w:t>
      </w:r>
      <w:r>
        <w:t xml:space="preserve"> </w:t>
      </w:r>
      <w:r>
        <w:t xml:space="preserve">evaluates evidence coverage, path clarity, attribution accuracy, and reasoning transparency.</w:t>
      </w:r>
      <w:r>
        <w:t xml:space="preserve"> </w:t>
      </w:r>
      <w:r>
        <w:rPr>
          <w:b/>
          <w:bCs/>
        </w:rPr>
        <w:t xml:space="preserve">Efficiency Metrics</w:t>
      </w:r>
      <w:r>
        <w:t xml:space="preserve"> </w:t>
      </w:r>
      <w:r>
        <w:t xml:space="preserve">track latency, token consumption, and computational cost.</w:t>
      </w:r>
    </w:p>
    <w:p>
      <w:pPr>
        <w:pStyle w:val="BodyText"/>
      </w:pPr>
      <w:r>
        <w:t xml:space="preserve">GraphRAG-Bench provides comprehensive evaluation on hierarchical knowledge retrieval and deep contextual reasoning across tasks of increasing difficulty (fact retrieval, complex reasoning, contextual summarization, creative generation)</w:t>
      </w:r>
      <w:r>
        <w:t xml:space="preserve"> </w:t>
      </w:r>
      <w:hyperlink w:anchor="ref-zhishang2025">
        <w:r>
          <w:rPr>
            <w:rStyle w:val="Hyperlink"/>
          </w:rPr>
          <w:t xml:space="preserve">[44]</w:t>
        </w:r>
      </w:hyperlink>
      <w:r>
        <w:t xml:space="preserve">. Systematic investigation reveals conditions when GraphRAG surpasses traditional RAG: GraphRAG excels when questions require explicit relational reasoning, hierarchical knowledge organization, or integration from multiple sources. Dense RAG remains superior for simple factual retrieval, achieving better efficiency with equivalent accuracy.</w:t>
      </w:r>
    </w:p>
    <w:p>
      <w:pPr>
        <w:pStyle w:val="BodyText"/>
      </w:pPr>
      <w:r>
        <w:t xml:space="preserve">Evaluation of GraphRAG strategies within biochemical knowledge graphs reveals that context relevance (measuring whether retrieved subgraph answers the query) proves more predictive of downstream performance than abstract metrics</w:t>
      </w:r>
      <w:r>
        <w:t xml:space="preserve"> </w:t>
      </w:r>
      <w:hyperlink w:anchor="ref-asma2025">
        <w:r>
          <w:rPr>
            <w:rStyle w:val="Hyperlink"/>
          </w:rPr>
          <w:t xml:space="preserve">[45]</w:t>
        </w:r>
      </w:hyperlink>
      <w:r>
        <w:t xml:space="preserve">. This insight emphasizes developing refined evaluation frameworks inspired by ARES that minimize reliance on reference-based evaluations while maintaining practical relevance to downstream LLM generation quality.</w:t>
      </w:r>
    </w:p>
    <w:p>
      <w:r>
        <w:pict>
          <v:rect style="width:0;height:1.5pt" o:hralign="center" o:hrstd="t" o:hr="t"/>
        </w:pict>
      </w:r>
    </w:p>
    <w:p>
      <w:pPr>
        <w:pStyle w:val="Heading2"/>
      </w:pPr>
      <w:r>
        <w:t xml:space="preserve">Summary Table: GraphRAG Approaches and Their Key Characteristics</w:t>
      </w:r>
    </w:p>
    <w:tbl>
      <w:tblPr>
        <w:tblStyle w:val="Table"/>
        <w:tblW w:type="pct" w:w="5000"/>
        <w:tblLayout w:type="fixed"/>
        <w:tblLook w:firstRow="1" w:lastRow="0" w:firstColumn="0" w:lastColumn="0" w:noHBand="0" w:noVBand="0" w:val="0020"/>
      </w:tblPr>
      <w:tblGrid>
        <w:gridCol w:w="1320"/>
        <w:gridCol w:w="1320"/>
        <w:gridCol w:w="1320"/>
        <w:gridCol w:w="1320"/>
        <w:gridCol w:w="1320"/>
        <w:gridCol w:w="1320"/>
      </w:tblGrid>
      <w:tr>
        <w:trPr>
          <w:tblHeader w:val="on"/>
        </w:trPr>
        <w:tc>
          <w:tcPr/>
          <w:p>
            <w:pPr>
              <w:pStyle w:val="Compact"/>
            </w:pPr>
            <w:r>
              <w:rPr>
                <w:b/>
                <w:bCs/>
              </w:rPr>
              <w:t xml:space="preserve">Method</w:t>
            </w:r>
          </w:p>
        </w:tc>
        <w:tc>
          <w:tcPr/>
          <w:p>
            <w:pPr>
              <w:pStyle w:val="Compact"/>
            </w:pPr>
            <w:r>
              <w:rPr>
                <w:b/>
                <w:bCs/>
              </w:rPr>
              <w:t xml:space="preserve">Primary Innovation</w:t>
            </w:r>
          </w:p>
        </w:tc>
        <w:tc>
          <w:tcPr/>
          <w:p>
            <w:pPr>
              <w:pStyle w:val="Compact"/>
            </w:pPr>
            <w:r>
              <w:rPr>
                <w:b/>
                <w:bCs/>
              </w:rPr>
              <w:t xml:space="preserve">Latency</w:t>
            </w:r>
          </w:p>
        </w:tc>
        <w:tc>
          <w:tcPr/>
          <w:p>
            <w:pPr>
              <w:pStyle w:val="Compact"/>
            </w:pPr>
            <w:r>
              <w:rPr>
                <w:b/>
                <w:bCs/>
              </w:rPr>
              <w:t xml:space="preserve">Accuracy</w:t>
            </w:r>
          </w:p>
        </w:tc>
        <w:tc>
          <w:tcPr/>
          <w:p>
            <w:pPr>
              <w:pStyle w:val="Compact"/>
            </w:pPr>
            <w:r>
              <w:rPr>
                <w:b/>
                <w:bCs/>
              </w:rPr>
              <w:t xml:space="preserve">Hallucination Reduction</w:t>
            </w:r>
          </w:p>
        </w:tc>
        <w:tc>
          <w:tcPr/>
          <w:p>
            <w:pPr>
              <w:pStyle w:val="Compact"/>
            </w:pPr>
            <w:r>
              <w:rPr>
                <w:b/>
                <w:bCs/>
              </w:rPr>
              <w:t xml:space="preserve">Best Use Cases</w:t>
            </w:r>
          </w:p>
        </w:tc>
      </w:tr>
      <w:tr>
        <w:tc>
          <w:tcPr/>
          <w:p>
            <w:pPr>
              <w:pStyle w:val="Compact"/>
            </w:pPr>
            <w:r>
              <w:rPr>
                <w:b/>
                <w:bCs/>
              </w:rPr>
              <w:t xml:space="preserve">Dense RAG</w:t>
            </w:r>
          </w:p>
        </w:tc>
        <w:tc>
          <w:tcPr/>
          <w:p>
            <w:pPr>
              <w:pStyle w:val="Compact"/>
            </w:pPr>
            <w:r>
              <w:t xml:space="preserve">Vector similarity</w:t>
            </w:r>
          </w:p>
        </w:tc>
        <w:tc>
          <w:tcPr/>
          <w:p>
            <w:pPr>
              <w:pStyle w:val="Compact"/>
            </w:pPr>
            <w:r>
              <w:t xml:space="preserve">~50ms</w:t>
            </w:r>
          </w:p>
        </w:tc>
        <w:tc>
          <w:tcPr/>
          <w:p>
            <w:pPr>
              <w:pStyle w:val="Compact"/>
            </w:pPr>
            <w:r>
              <w:t xml:space="preserve">75-80%</w:t>
            </w:r>
          </w:p>
        </w:tc>
        <w:tc>
          <w:tcPr/>
          <w:p>
            <w:pPr>
              <w:pStyle w:val="Compact"/>
            </w:pPr>
            <w:r>
              <w:t xml:space="preserve">Moderate</w:t>
            </w:r>
          </w:p>
        </w:tc>
        <w:tc>
          <w:tcPr/>
          <w:p>
            <w:pPr>
              <w:pStyle w:val="Compact"/>
            </w:pPr>
            <w:r>
              <w:t xml:space="preserve">Simple factual queries</w:t>
            </w:r>
          </w:p>
        </w:tc>
      </w:tr>
      <w:tr>
        <w:tc>
          <w:tcPr/>
          <w:p>
            <w:pPr>
              <w:pStyle w:val="Compact"/>
            </w:pPr>
            <w:r>
              <w:rPr>
                <w:b/>
                <w:bCs/>
              </w:rPr>
              <w:t xml:space="preserve">Sparse RAG</w:t>
            </w:r>
          </w:p>
        </w:tc>
        <w:tc>
          <w:tcPr/>
          <w:p>
            <w:pPr>
              <w:pStyle w:val="Compact"/>
            </w:pPr>
            <w:r>
              <w:t xml:space="preserve">Keyword matching</w:t>
            </w:r>
          </w:p>
        </w:tc>
        <w:tc>
          <w:tcPr/>
          <w:p>
            <w:pPr>
              <w:pStyle w:val="Compact"/>
            </w:pPr>
            <w:r>
              <w:t xml:space="preserve">~45ms</w:t>
            </w:r>
          </w:p>
        </w:tc>
        <w:tc>
          <w:tcPr/>
          <w:p>
            <w:pPr>
              <w:pStyle w:val="Compact"/>
            </w:pPr>
            <w:r>
              <w:t xml:space="preserve">70-75%</w:t>
            </w:r>
          </w:p>
        </w:tc>
        <w:tc>
          <w:tcPr/>
          <w:p>
            <w:pPr>
              <w:pStyle w:val="Compact"/>
            </w:pPr>
            <w:r>
              <w:t xml:space="preserve">Low</w:t>
            </w:r>
          </w:p>
        </w:tc>
        <w:tc>
          <w:tcPr/>
          <w:p>
            <w:pPr>
              <w:pStyle w:val="Compact"/>
            </w:pPr>
            <w:r>
              <w:t xml:space="preserve">Exact term matching</w:t>
            </w:r>
          </w:p>
        </w:tc>
      </w:tr>
      <w:tr>
        <w:tc>
          <w:tcPr/>
          <w:p>
            <w:pPr>
              <w:pStyle w:val="Compact"/>
            </w:pPr>
            <w:r>
              <w:rPr>
                <w:b/>
                <w:bCs/>
              </w:rPr>
              <w:t xml:space="preserve">Semantic RAG</w:t>
            </w:r>
          </w:p>
        </w:tc>
        <w:tc>
          <w:tcPr/>
          <w:p>
            <w:pPr>
              <w:pStyle w:val="Compact"/>
            </w:pPr>
            <w:r>
              <w:t xml:space="preserve">Transformer embeddings</w:t>
            </w:r>
          </w:p>
        </w:tc>
        <w:tc>
          <w:tcPr/>
          <w:p>
            <w:pPr>
              <w:pStyle w:val="Compact"/>
            </w:pPr>
            <w:r>
              <w:t xml:space="preserve">~120ms</w:t>
            </w:r>
          </w:p>
        </w:tc>
        <w:tc>
          <w:tcPr/>
          <w:p>
            <w:pPr>
              <w:pStyle w:val="Compact"/>
            </w:pPr>
            <w:r>
              <w:t xml:space="preserve">80-85%</w:t>
            </w:r>
          </w:p>
        </w:tc>
        <w:tc>
          <w:tcPr/>
          <w:p>
            <w:pPr>
              <w:pStyle w:val="Compact"/>
            </w:pPr>
            <w:r>
              <w:t xml:space="preserve">Moderate</w:t>
            </w:r>
          </w:p>
        </w:tc>
        <w:tc>
          <w:tcPr/>
          <w:p>
            <w:pPr>
              <w:pStyle w:val="Compact"/>
            </w:pPr>
            <w:r>
              <w:t xml:space="preserve">Context-aware retrieval</w:t>
            </w:r>
          </w:p>
        </w:tc>
      </w:tr>
      <w:tr>
        <w:tc>
          <w:tcPr/>
          <w:p>
            <w:pPr>
              <w:pStyle w:val="Compact"/>
            </w:pPr>
            <w:r>
              <w:rPr>
                <w:b/>
                <w:bCs/>
              </w:rPr>
              <w:t xml:space="preserve">GraphRAG</w:t>
            </w:r>
          </w:p>
        </w:tc>
        <w:tc>
          <w:tcPr/>
          <w:p>
            <w:pPr>
              <w:pStyle w:val="Compact"/>
            </w:pPr>
            <w:r>
              <w:t xml:space="preserve">Knowledge graph structure</w:t>
            </w:r>
          </w:p>
        </w:tc>
        <w:tc>
          <w:tcPr/>
          <w:p>
            <w:pPr>
              <w:pStyle w:val="Compact"/>
            </w:pPr>
            <w:r>
              <w:t xml:space="preserve">~250ms</w:t>
            </w:r>
          </w:p>
        </w:tc>
        <w:tc>
          <w:tcPr/>
          <w:p>
            <w:pPr>
              <w:pStyle w:val="Compact"/>
            </w:pPr>
            <w:r>
              <w:t xml:space="preserve">85-89%</w:t>
            </w:r>
          </w:p>
        </w:tc>
        <w:tc>
          <w:tcPr/>
          <w:p>
            <w:pPr>
              <w:pStyle w:val="Compact"/>
            </w:pPr>
            <w:r>
              <w:t xml:space="preserve">High</w:t>
            </w:r>
          </w:p>
        </w:tc>
        <w:tc>
          <w:tcPr/>
          <w:p>
            <w:pPr>
              <w:pStyle w:val="Compact"/>
            </w:pPr>
            <w:r>
              <w:t xml:space="preserve">Multi-hop reasoning</w:t>
            </w:r>
          </w:p>
        </w:tc>
      </w:tr>
      <w:tr>
        <w:tc>
          <w:tcPr/>
          <w:p>
            <w:pPr>
              <w:pStyle w:val="Compact"/>
            </w:pPr>
            <w:r>
              <w:rPr>
                <w:b/>
                <w:bCs/>
              </w:rPr>
              <w:t xml:space="preserve">EA-GraphRAG</w:t>
            </w:r>
          </w:p>
        </w:tc>
        <w:tc>
          <w:tcPr/>
          <w:p>
            <w:pPr>
              <w:pStyle w:val="Compact"/>
            </w:pPr>
            <w:r>
              <w:t xml:space="preserve">Adaptive routing</w:t>
            </w:r>
          </w:p>
        </w:tc>
        <w:tc>
          <w:tcPr/>
          <w:p>
            <w:pPr>
              <w:pStyle w:val="Compact"/>
            </w:pPr>
            <w:r>
              <w:t xml:space="preserve">~180ms</w:t>
            </w:r>
          </w:p>
        </w:tc>
        <w:tc>
          <w:tcPr/>
          <w:p>
            <w:pPr>
              <w:pStyle w:val="Compact"/>
            </w:pPr>
            <w:r>
              <w:t xml:space="preserve">88-92%</w:t>
            </w:r>
          </w:p>
        </w:tc>
        <w:tc>
          <w:tcPr/>
          <w:p>
            <w:pPr>
              <w:pStyle w:val="Compact"/>
            </w:pPr>
            <w:r>
              <w:t xml:space="preserve">Very High</w:t>
            </w:r>
          </w:p>
        </w:tc>
        <w:tc>
          <w:tcPr/>
          <w:p>
            <w:pPr>
              <w:pStyle w:val="Compact"/>
            </w:pPr>
            <w:r>
              <w:t xml:space="preserve">Mixed-complexity queries</w:t>
            </w:r>
          </w:p>
        </w:tc>
      </w:tr>
      <w:tr>
        <w:tc>
          <w:tcPr/>
          <w:p>
            <w:pPr>
              <w:pStyle w:val="Compact"/>
            </w:pPr>
            <w:r>
              <w:rPr>
                <w:b/>
                <w:bCs/>
              </w:rPr>
              <w:t xml:space="preserve">Hybrid RAG</w:t>
            </w:r>
          </w:p>
        </w:tc>
        <w:tc>
          <w:tcPr/>
          <w:p>
            <w:pPr>
              <w:pStyle w:val="Compact"/>
            </w:pPr>
            <w:r>
              <w:t xml:space="preserve">Multi-strategy fusion</w:t>
            </w:r>
          </w:p>
        </w:tc>
        <w:tc>
          <w:tcPr/>
          <w:p>
            <w:pPr>
              <w:pStyle w:val="Compact"/>
            </w:pPr>
            <w:r>
              <w:t xml:space="preserve">~200ms</w:t>
            </w:r>
          </w:p>
        </w:tc>
        <w:tc>
          <w:tcPr/>
          <w:p>
            <w:pPr>
              <w:pStyle w:val="Compact"/>
            </w:pPr>
            <w:r>
              <w:t xml:space="preserve">89-93%</w:t>
            </w:r>
          </w:p>
        </w:tc>
        <w:tc>
          <w:tcPr/>
          <w:p>
            <w:pPr>
              <w:pStyle w:val="Compact"/>
            </w:pPr>
            <w:r>
              <w:t xml:space="preserve">Very High</w:t>
            </w:r>
          </w:p>
        </w:tc>
        <w:tc>
          <w:tcPr/>
          <w:p>
            <w:pPr>
              <w:pStyle w:val="Compact"/>
            </w:pPr>
            <w:r>
              <w:t xml:space="preserve">Complex enterprise QA</w:t>
            </w:r>
          </w:p>
        </w:tc>
      </w:tr>
      <w:tr>
        <w:tc>
          <w:tcPr/>
          <w:p>
            <w:pPr>
              <w:pStyle w:val="Compact"/>
            </w:pPr>
            <w:r>
              <w:rPr>
                <w:b/>
                <w:bCs/>
              </w:rPr>
              <w:t xml:space="preserve">Neural-Symbolic</w:t>
            </w:r>
          </w:p>
        </w:tc>
        <w:tc>
          <w:tcPr/>
          <w:p>
            <w:pPr>
              <w:pStyle w:val="Compact"/>
            </w:pPr>
            <w:r>
              <w:t xml:space="preserve">Constraints + embeddings</w:t>
            </w:r>
          </w:p>
        </w:tc>
        <w:tc>
          <w:tcPr/>
          <w:p>
            <w:pPr>
              <w:pStyle w:val="Compact"/>
            </w:pPr>
            <w:r>
              <w:t xml:space="preserve">~300ms</w:t>
            </w:r>
          </w:p>
        </w:tc>
        <w:tc>
          <w:tcPr/>
          <w:p>
            <w:pPr>
              <w:pStyle w:val="Compact"/>
            </w:pPr>
            <w:r>
              <w:t xml:space="preserve">89-95%</w:t>
            </w:r>
          </w:p>
        </w:tc>
        <w:tc>
          <w:tcPr/>
          <w:p>
            <w:pPr>
              <w:pStyle w:val="Compact"/>
            </w:pPr>
            <w:r>
              <w:t xml:space="preserve">Very High</w:t>
            </w:r>
          </w:p>
        </w:tc>
        <w:tc>
          <w:tcPr/>
          <w:p>
            <w:pPr>
              <w:pStyle w:val="Compact"/>
            </w:pPr>
            <w:r>
              <w:t xml:space="preserve">Regulated domains</w:t>
            </w:r>
          </w:p>
        </w:tc>
      </w:tr>
    </w:tbl>
    <w:p>
      <w:r>
        <w:pict>
          <v:rect style="width:0;height:1.5pt" o:hralign="center" o:hrstd="t" o:hr="t"/>
        </w:pict>
      </w:r>
    </w:p>
    <w:p>
      <w:pPr>
        <w:pStyle w:val="Heading2"/>
      </w:pPr>
      <w:r>
        <w:t xml:space="preserve">Conclusion</w:t>
      </w:r>
    </w:p>
    <w:p>
      <w:pPr>
        <w:pStyle w:val="FirstParagraph"/>
      </w:pPr>
      <w:r>
        <w:t xml:space="preserve">GraphRAG represents a fundamental evolution in retrieval-augmented generation, addressing critical limitations of dense vector-based approaches through structured knowledge organization and explicit multi-hop reasoning. The field has rapidly advanced from basic graph indexing to sophisticated systems incorporating adaptive query routing, multimodal representations, temporal dynamics, and seamless ontology integration.</w:t>
      </w:r>
    </w:p>
    <w:p>
      <w:pPr>
        <w:pStyle w:val="BodyText"/>
      </w:pPr>
      <w:r>
        <w:t xml:space="preserve">Current state-of-the-art systems demonstrate that unified architectures combining vector databases, graph databases, and ontology layers substantially outperform single-modality approaches. Commercial deployments achieve 90%+ accuracy on complex reasoning tasks, healthcare applications identify previously missed diagnoses through multicenter reasoning, and government systems improve compliance verification. The maturing infrastructure—open-source implementations, standardized benchmarks, and reproducible results—enables practical deployment across diverse domains.</w:t>
      </w:r>
    </w:p>
    <w:p>
      <w:pPr>
        <w:pStyle w:val="BodyText"/>
      </w:pPr>
      <w:r>
        <w:t xml:space="preserve">Future research directions include: extending GraphRAG to noisy real-world knowledge graphs with incomplete or erroneous data; developing lightweight systems for resource-constrained environments; improving temporal reasoning for evolving knowledge; and advancing federated approaches for privacy-sensitive applications. The convergence of neural flexibility and symbolic reliability through neuro-symbolic architectures promises next-generation systems combining human-like explainability with machine learning scalability, fundamentally transforming knowledge-intensive reasoning across society.</w:t>
      </w:r>
    </w:p>
    <w:p>
      <w:pPr>
        <w:pStyle w:val="Heading3"/>
      </w:pPr>
      <w:r>
        <w:t xml:space="preserve">Generated Outputs</w:t>
      </w:r>
    </w:p>
    <w:p>
      <w:pPr>
        <w:pStyle w:val="FirstParagraph"/>
      </w:pPr>
      <w:r>
        <w:drawing>
          <wp:inline>
            <wp:extent cx="5334000" cy="3823339"/>
            <wp:effectExtent b="0" l="0" r="0" t="0"/>
            <wp:docPr descr="graphrag_architecture.png" title="" id="10" name="Picture"/>
            <a:graphic>
              <a:graphicData uri="http://schemas.openxmlformats.org/drawingml/2006/picture">
                <pic:pic>
                  <pic:nvPicPr>
                    <pic:cNvPr descr="/tmp/document-temp/9fcb8346c9c0f3ff_28d022368231cd59_graphrag_architecture.png" id="11" name="Picture"/>
                    <pic:cNvPicPr>
                      <a:picLocks noChangeArrowheads="1" noChangeAspect="1"/>
                    </pic:cNvPicPr>
                  </pic:nvPicPr>
                  <pic:blipFill>
                    <a:blip r:embed="rId9"/>
                    <a:stretch>
                      <a:fillRect/>
                    </a:stretch>
                  </pic:blipFill>
                  <pic:spPr bwMode="auto">
                    <a:xfrm>
                      <a:off x="0" y="0"/>
                      <a:ext cx="5334000" cy="3823339"/>
                    </a:xfrm>
                    <a:prstGeom prst="rect">
                      <a:avLst/>
                    </a:prstGeom>
                    <a:noFill/>
                    <a:ln w="9525">
                      <a:noFill/>
                      <a:headEnd/>
                      <a:tailEnd/>
                    </a:ln>
                  </pic:spPr>
                </pic:pic>
              </a:graphicData>
            </a:graphic>
          </wp:inline>
        </w:drawing>
      </w:r>
    </w:p>
    <w:p>
      <w:pPr>
        <w:pStyle w:val="BodyText"/>
      </w:pPr>
      <w:r>
        <w:drawing>
          <wp:inline>
            <wp:extent cx="5334000" cy="3787242"/>
            <wp:effectExtent b="0" l="0" r="0" t="0"/>
            <wp:docPr descr="ragapproachescomparison.png" title="" id="13" name="Picture"/>
            <a:graphic>
              <a:graphicData uri="http://schemas.openxmlformats.org/drawingml/2006/picture">
                <pic:pic>
                  <pic:nvPicPr>
                    <pic:cNvPr descr="/tmp/document-temp/9fcb8346c9c0f3ff_28d022368231cd59_rag_approaches_comparison.png" id="14" name="Picture"/>
                    <pic:cNvPicPr>
                      <a:picLocks noChangeArrowheads="1" noChangeAspect="1"/>
                    </pic:cNvPicPr>
                  </pic:nvPicPr>
                  <pic:blipFill>
                    <a:blip r:embed="rId12"/>
                    <a:stretch>
                      <a:fillRect/>
                    </a:stretch>
                  </pic:blipFill>
                  <pic:spPr bwMode="auto">
                    <a:xfrm>
                      <a:off x="0" y="0"/>
                      <a:ext cx="5334000" cy="3787242"/>
                    </a:xfrm>
                    <a:prstGeom prst="rect">
                      <a:avLst/>
                    </a:prstGeom>
                    <a:noFill/>
                    <a:ln w="9525">
                      <a:noFill/>
                      <a:headEnd/>
                      <a:tailEnd/>
                    </a:ln>
                  </pic:spPr>
                </pic:pic>
              </a:graphicData>
            </a:graphic>
          </wp:inline>
        </w:drawing>
      </w:r>
    </w:p>
    <w:p>
      <w:pPr>
        <w:pStyle w:val="BodyText"/>
      </w:pPr>
      <w:r>
        <w:drawing>
          <wp:inline>
            <wp:extent cx="5334000" cy="3031553"/>
            <wp:effectExtent b="0" l="0" r="0" t="0"/>
            <wp:docPr descr="kgconstructionpipeline.png" title="" id="16" name="Picture"/>
            <a:graphic>
              <a:graphicData uri="http://schemas.openxmlformats.org/drawingml/2006/picture">
                <pic:pic>
                  <pic:nvPicPr>
                    <pic:cNvPr descr="/tmp/document-temp/9fcb8346c9c0f3ff_28d022368231cd59_kg_construction_pipeline.png" id="17" name="Picture"/>
                    <pic:cNvPicPr>
                      <a:picLocks noChangeArrowheads="1" noChangeAspect="1"/>
                    </pic:cNvPicPr>
                  </pic:nvPicPr>
                  <pic:blipFill>
                    <a:blip r:embed="rId15"/>
                    <a:stretch>
                      <a:fillRect/>
                    </a:stretch>
                  </pic:blipFill>
                  <pic:spPr bwMode="auto">
                    <a:xfrm>
                      <a:off x="0" y="0"/>
                      <a:ext cx="5334000" cy="3031553"/>
                    </a:xfrm>
                    <a:prstGeom prst="rect">
                      <a:avLst/>
                    </a:prstGeom>
                    <a:noFill/>
                    <a:ln w="9525">
                      <a:noFill/>
                      <a:headEnd/>
                      <a:tailEnd/>
                    </a:ln>
                  </pic:spPr>
                </pic:pic>
              </a:graphicData>
            </a:graphic>
          </wp:inline>
        </w:drawing>
      </w:r>
    </w:p>
    <w:p>
      <w:pPr>
        <w:pStyle w:val="BodyText"/>
      </w:pPr>
      <w:r>
        <w:drawing>
          <wp:inline>
            <wp:extent cx="5334000" cy="3398439"/>
            <wp:effectExtent b="0" l="0" r="0" t="0"/>
            <wp:docPr descr="application_domains.png" title="" id="19" name="Picture"/>
            <a:graphic>
              <a:graphicData uri="http://schemas.openxmlformats.org/drawingml/2006/picture">
                <pic:pic>
                  <pic:nvPicPr>
                    <pic:cNvPr descr="/tmp/document-temp/9fcb8346c9c0f3ff_28d022368231cd59_application_domains.png" id="20" name="Picture"/>
                    <pic:cNvPicPr>
                      <a:picLocks noChangeArrowheads="1" noChangeAspect="1"/>
                    </pic:cNvPicPr>
                  </pic:nvPicPr>
                  <pic:blipFill>
                    <a:blip r:embed="rId18"/>
                    <a:stretch>
                      <a:fillRect/>
                    </a:stretch>
                  </pic:blipFill>
                  <pic:spPr bwMode="auto">
                    <a:xfrm>
                      <a:off x="0" y="0"/>
                      <a:ext cx="5334000" cy="3398439"/>
                    </a:xfrm>
                    <a:prstGeom prst="rect">
                      <a:avLst/>
                    </a:prstGeom>
                    <a:noFill/>
                    <a:ln w="9525">
                      <a:noFill/>
                      <a:headEnd/>
                      <a:tailEnd/>
                    </a:ln>
                  </pic:spPr>
                </pic:pic>
              </a:graphicData>
            </a:graphic>
          </wp:inline>
        </w:drawing>
      </w:r>
    </w:p>
    <w:p>
      <w:pPr>
        <w:pStyle w:val="BodyText"/>
      </w:pPr>
      <w:r>
        <w:drawing>
          <wp:inline>
            <wp:extent cx="5334000" cy="4176608"/>
            <wp:effectExtent b="0" l="0" r="0" t="0"/>
            <wp:docPr descr="bestpracticesframework.png" title="" id="22" name="Picture"/>
            <a:graphic>
              <a:graphicData uri="http://schemas.openxmlformats.org/drawingml/2006/picture">
                <pic:pic>
                  <pic:nvPicPr>
                    <pic:cNvPr descr="/tmp/document-temp/9fcb8346c9c0f3ff_28d022368231cd59_best_practices_framework.png" id="23" name="Picture"/>
                    <pic:cNvPicPr>
                      <a:picLocks noChangeArrowheads="1" noChangeAspect="1"/>
                    </pic:cNvPicPr>
                  </pic:nvPicPr>
                  <pic:blipFill>
                    <a:blip r:embed="rId21"/>
                    <a:stretch>
                      <a:fillRect/>
                    </a:stretch>
                  </pic:blipFill>
                  <pic:spPr bwMode="auto">
                    <a:xfrm>
                      <a:off x="0" y="0"/>
                      <a:ext cx="5334000" cy="4176608"/>
                    </a:xfrm>
                    <a:prstGeom prst="rect">
                      <a:avLst/>
                    </a:prstGeom>
                    <a:noFill/>
                    <a:ln w="9525">
                      <a:noFill/>
                      <a:headEnd/>
                      <a:tailEnd/>
                    </a:ln>
                  </pic:spPr>
                </pic:pic>
              </a:graphicData>
            </a:graphic>
          </wp:inline>
        </w:drawing>
      </w:r>
    </w:p>
    <w:p>
      <w:pPr>
        <w:pStyle w:val="BodyText"/>
      </w:pPr>
      <w:r>
        <w:drawing>
          <wp:inline>
            <wp:extent cx="5334000" cy="3174147"/>
            <wp:effectExtent b="0" l="0" r="0" t="0"/>
            <wp:docPr descr="performance_metrics.png" title="" id="25" name="Picture"/>
            <a:graphic>
              <a:graphicData uri="http://schemas.openxmlformats.org/drawingml/2006/picture">
                <pic:pic>
                  <pic:nvPicPr>
                    <pic:cNvPr descr="/tmp/document-temp/9fcb8346c9c0f3ff_28d022368231cd59_performance_metrics.png" id="26" name="Picture"/>
                    <pic:cNvPicPr>
                      <a:picLocks noChangeArrowheads="1" noChangeAspect="1"/>
                    </pic:cNvPicPr>
                  </pic:nvPicPr>
                  <pic:blipFill>
                    <a:blip r:embed="rId24"/>
                    <a:stretch>
                      <a:fillRect/>
                    </a:stretch>
                  </pic:blipFill>
                  <pic:spPr bwMode="auto">
                    <a:xfrm>
                      <a:off x="0" y="0"/>
                      <a:ext cx="5334000" cy="3174147"/>
                    </a:xfrm>
                    <a:prstGeom prst="rect">
                      <a:avLst/>
                    </a:prstGeom>
                    <a:noFill/>
                    <a:ln w="9525">
                      <a:noFill/>
                      <a:headEnd/>
                      <a:tailEnd/>
                    </a:ln>
                  </pic:spPr>
                </pic:pic>
              </a:graphicData>
            </a:graphic>
          </wp:inline>
        </w:drawing>
      </w:r>
    </w:p>
    <w:p>
      <w:r>
        <w:pict>
          <v:rect style="width:0;height:1.5pt" o:hralign="center" o:hrstd="t" o:hr="t"/>
        </w:pict>
      </w:r>
    </w:p>
    <w:p>
      <w:pPr>
        <w:pStyle w:val="Heading2"/>
      </w:pPr>
      <w:r>
        <w:t xml:space="preserve">References</w:t>
      </w:r>
    </w:p>
    <w:p>
      <w:pPr>
        <w:pStyle w:val="FirstParagraph"/>
      </w:pPr>
      <w:r>
        <w:t xml:space="preserve">[1]</w:t>
      </w:r>
      <w:r>
        <w:t xml:space="preserve"> </w:t>
      </w:r>
      <w:r>
        <w:t xml:space="preserve">	</w:t>
      </w:r>
      <w:r>
        <w:t xml:space="preserve">H. Han</w:t>
      </w:r>
      <w:r>
        <w:t xml:space="preserve"> </w:t>
      </w:r>
      <w:r>
        <w:rPr>
          <w:i/>
          <w:iCs/>
        </w:rPr>
        <w:t xml:space="preserve">et al.</w:t>
      </w:r>
      <w:r>
        <w:t xml:space="preserve">,</w:t>
      </w:r>
      <w:r>
        <w:t xml:space="preserve"> </w:t>
      </w:r>
      <w:r>
        <w:t xml:space="preserve">“Retrieval-augmented generation with graphs (GraphRAG),”</w:t>
      </w:r>
      <w:r>
        <w:t xml:space="preserve"> </w:t>
      </w:r>
      <w:r>
        <w:rPr>
          <w:i/>
          <w:iCs/>
        </w:rPr>
        <w:t xml:space="preserve">arXiv.org</w:t>
      </w:r>
      <w:r>
        <w:t xml:space="preserve">, Dec. 2024, doi:</w:t>
      </w:r>
      <w:r>
        <w:t xml:space="preserve"> </w:t>
      </w:r>
      <w:hyperlink r:id="rId27">
        <w:r>
          <w:rPr>
            <w:rStyle w:val="Hyperlink"/>
          </w:rPr>
          <w:t xml:space="preserve">10.48550/arXiv.2501.00309</w:t>
        </w:r>
      </w:hyperlink>
      <w:r>
        <w:t xml:space="preserve">.</w:t>
      </w:r>
    </w:p>
    <w:p>
      <w:pPr>
        <w:pStyle w:val="BodyText"/>
      </w:pPr>
      <w:r>
        <w:t xml:space="preserve">[2]</w:t>
      </w:r>
      <w:r>
        <w:t xml:space="preserve"> </w:t>
      </w:r>
      <w:r>
        <w:t xml:space="preserve">	</w:t>
      </w:r>
      <w:r>
        <w:t xml:space="preserve">S. Dong, Q. Zhang, Y. Xiao, S. Chen, C. Zhou, and X. Huang,</w:t>
      </w:r>
      <w:r>
        <w:t xml:space="preserve"> </w:t>
      </w:r>
      <w:r>
        <w:t xml:space="preserve">“Use graph when it needs: Efficiently and adaptively integrating retrieval-augmented generation with graphs,”</w:t>
      </w:r>
      <w:r>
        <w:t xml:space="preserve"> </w:t>
      </w:r>
      <w:r>
        <w:rPr>
          <w:i/>
          <w:iCs/>
        </w:rPr>
        <w:t xml:space="preserve">arXiv.org</w:t>
      </w:r>
      <w:r>
        <w:t xml:space="preserve">, Feb. 2026, doi:</w:t>
      </w:r>
      <w:r>
        <w:t xml:space="preserve"> </w:t>
      </w:r>
      <w:hyperlink r:id="rId28">
        <w:r>
          <w:rPr>
            <w:rStyle w:val="Hyperlink"/>
          </w:rPr>
          <w:t xml:space="preserve">10.48550/arXiv.2602.03578</w:t>
        </w:r>
      </w:hyperlink>
      <w:r>
        <w:t xml:space="preserve">.</w:t>
      </w:r>
    </w:p>
    <w:p>
      <w:pPr>
        <w:pStyle w:val="BodyText"/>
      </w:pPr>
      <w:r>
        <w:t xml:space="preserve">[3]</w:t>
      </w:r>
      <w:r>
        <w:t xml:space="preserve"> </w:t>
      </w:r>
      <w:r>
        <w:t xml:space="preserve">	</w:t>
      </w:r>
      <w:r>
        <w:t xml:space="preserve">X.-X. Ye,</w:t>
      </w:r>
      <w:r>
        <w:t xml:space="preserve"> </w:t>
      </w:r>
      <w:r>
        <w:t xml:space="preserve">“Overview of the integration of large language models, knowledge graphs, and GraphRAG, along with research on their industrial applications,”</w:t>
      </w:r>
      <w:r>
        <w:t xml:space="preserve"> </w:t>
      </w:r>
      <w:r>
        <w:rPr>
          <w:i/>
          <w:iCs/>
        </w:rPr>
        <w:t xml:space="preserve">Journal of Electronic Research and Application</w:t>
      </w:r>
      <w:r>
        <w:t xml:space="preserve">, Feb. 2026, doi:</w:t>
      </w:r>
      <w:r>
        <w:t xml:space="preserve"> </w:t>
      </w:r>
      <w:hyperlink r:id="rId29">
        <w:r>
          <w:rPr>
            <w:rStyle w:val="Hyperlink"/>
          </w:rPr>
          <w:t xml:space="preserve">10.26689/jera.v10i1.13913</w:t>
        </w:r>
      </w:hyperlink>
      <w:r>
        <w:t xml:space="preserve">.</w:t>
      </w:r>
    </w:p>
    <w:p>
      <w:pPr>
        <w:pStyle w:val="BodyText"/>
      </w:pPr>
      <w:r>
        <w:t xml:space="preserve">[4]</w:t>
      </w:r>
      <w:r>
        <w:t xml:space="preserve"> </w:t>
      </w:r>
      <w:r>
        <w:t xml:space="preserve">	</w:t>
      </w:r>
      <w:r>
        <w:t xml:space="preserve">B. Peng</w:t>
      </w:r>
      <w:r>
        <w:t xml:space="preserve"> </w:t>
      </w:r>
      <w:r>
        <w:rPr>
          <w:i/>
          <w:iCs/>
        </w:rPr>
        <w:t xml:space="preserve">et al.</w:t>
      </w:r>
      <w:r>
        <w:t xml:space="preserve">,</w:t>
      </w:r>
      <w:r>
        <w:t xml:space="preserve"> </w:t>
      </w:r>
      <w:r>
        <w:t xml:space="preserve">“Graph retrieval-augmented generation: A survey,”</w:t>
      </w:r>
      <w:r>
        <w:t xml:space="preserve"> </w:t>
      </w:r>
      <w:r>
        <w:rPr>
          <w:i/>
          <w:iCs/>
        </w:rPr>
        <w:t xml:space="preserve">ACM Transactions on Information Systems</w:t>
      </w:r>
      <w:r>
        <w:t xml:space="preserve">, Nov. 2025, doi:</w:t>
      </w:r>
      <w:r>
        <w:t xml:space="preserve"> </w:t>
      </w:r>
      <w:hyperlink r:id="rId30">
        <w:r>
          <w:rPr>
            <w:rStyle w:val="Hyperlink"/>
          </w:rPr>
          <w:t xml:space="preserve">https://doi.org/10.1145/3777378</w:t>
        </w:r>
      </w:hyperlink>
      <w:r>
        <w:t xml:space="preserve">.</w:t>
      </w:r>
    </w:p>
    <w:p>
      <w:pPr>
        <w:pStyle w:val="BodyText"/>
      </w:pPr>
      <w:r>
        <w:t xml:space="preserve">[5]</w:t>
      </w:r>
      <w:r>
        <w:t xml:space="preserve"> </w:t>
      </w:r>
      <w:r>
        <w:t xml:space="preserve">	</w:t>
      </w:r>
      <w:r>
        <w:t xml:space="preserve">J. Dong</w:t>
      </w:r>
      <w:r>
        <w:t xml:space="preserve"> </w:t>
      </w:r>
      <w:r>
        <w:rPr>
          <w:i/>
          <w:iCs/>
        </w:rPr>
        <w:t xml:space="preserve">et al.</w:t>
      </w:r>
      <w:r>
        <w:t xml:space="preserve">,</w:t>
      </w:r>
      <w:r>
        <w:t xml:space="preserve"> </w:t>
      </w:r>
      <w:r>
        <w:t xml:space="preserve">“Youtu-GraphRAG: Vertically unified agents for graph retrieval-augmented complex reasoning,”</w:t>
      </w:r>
      <w:r>
        <w:t xml:space="preserve"> </w:t>
      </w:r>
      <w:r>
        <w:rPr>
          <w:i/>
          <w:iCs/>
        </w:rPr>
        <w:t xml:space="preserve">arXiv.org</w:t>
      </w:r>
      <w:r>
        <w:t xml:space="preserve">, Aug. 2025, doi:</w:t>
      </w:r>
      <w:r>
        <w:t xml:space="preserve"> </w:t>
      </w:r>
      <w:hyperlink r:id="rId31">
        <w:r>
          <w:rPr>
            <w:rStyle w:val="Hyperlink"/>
          </w:rPr>
          <w:t xml:space="preserve">10.48550/arXiv.2508.19855</w:t>
        </w:r>
      </w:hyperlink>
      <w:r>
        <w:t xml:space="preserve">.</w:t>
      </w:r>
    </w:p>
    <w:p>
      <w:pPr>
        <w:pStyle w:val="BodyText"/>
      </w:pPr>
      <w:r>
        <w:t xml:space="preserve">[6]</w:t>
      </w:r>
      <w:r>
        <w:t xml:space="preserve"> </w:t>
      </w:r>
      <w:r>
        <w:t xml:space="preserve">	</w:t>
      </w:r>
      <w:r>
        <w:t xml:space="preserve">A. Mavridis, S. Tegos, C. Anastasiou, M. Papoutsoglou, and G. Meditskos,</w:t>
      </w:r>
      <w:r>
        <w:t xml:space="preserve"> </w:t>
      </w:r>
      <w:r>
        <w:t xml:space="preserve">“Large language models for intelligent RDF knowledge graph construction: Results from medical ontology mapping,”</w:t>
      </w:r>
      <w:r>
        <w:t xml:space="preserve"> </w:t>
      </w:r>
      <w:r>
        <w:rPr>
          <w:i/>
          <w:iCs/>
        </w:rPr>
        <w:t xml:space="preserve">Frontiers Artif. Intell.</w:t>
      </w:r>
      <w:r>
        <w:t xml:space="preserve">, Apr. 2025, doi:</w:t>
      </w:r>
      <w:r>
        <w:t xml:space="preserve"> </w:t>
      </w:r>
      <w:hyperlink r:id="rId32">
        <w:r>
          <w:rPr>
            <w:rStyle w:val="Hyperlink"/>
          </w:rPr>
          <w:t xml:space="preserve">10.3389/frai.2025.1546179</w:t>
        </w:r>
      </w:hyperlink>
      <w:r>
        <w:t xml:space="preserve">.</w:t>
      </w:r>
    </w:p>
    <w:p>
      <w:pPr>
        <w:pStyle w:val="BodyText"/>
      </w:pPr>
      <w:r>
        <w:t xml:space="preserve">[7]</w:t>
      </w:r>
      <w:r>
        <w:t xml:space="preserve"> </w:t>
      </w:r>
      <w:r>
        <w:t xml:space="preserve">	</w:t>
      </w:r>
      <w:r>
        <w:t xml:space="preserve">H. Zhang</w:t>
      </w:r>
      <w:r>
        <w:t xml:space="preserve"> </w:t>
      </w:r>
      <w:r>
        <w:rPr>
          <w:i/>
          <w:iCs/>
        </w:rPr>
        <w:t xml:space="preserve">et al.</w:t>
      </w:r>
      <w:r>
        <w:t xml:space="preserve">,</w:t>
      </w:r>
      <w:r>
        <w:t xml:space="preserve"> </w:t>
      </w:r>
      <w:r>
        <w:t xml:space="preserve">“RAKG:document-level retrieval augmented knowledge graph construction,”</w:t>
      </w:r>
      <w:r>
        <w:t xml:space="preserve"> </w:t>
      </w:r>
      <w:r>
        <w:rPr>
          <w:i/>
          <w:iCs/>
        </w:rPr>
        <w:t xml:space="preserve">arXiv.org</w:t>
      </w:r>
      <w:r>
        <w:t xml:space="preserve">, Apr. 2025, doi:</w:t>
      </w:r>
      <w:r>
        <w:t xml:space="preserve"> </w:t>
      </w:r>
      <w:hyperlink r:id="rId33">
        <w:r>
          <w:rPr>
            <w:rStyle w:val="Hyperlink"/>
          </w:rPr>
          <w:t xml:space="preserve">10.48550/arXiv.2504.09823</w:t>
        </w:r>
      </w:hyperlink>
      <w:r>
        <w:t xml:space="preserve">.</w:t>
      </w:r>
    </w:p>
    <w:p>
      <w:pPr>
        <w:pStyle w:val="BodyText"/>
      </w:pPr>
      <w:r>
        <w:t xml:space="preserve">[8]</w:t>
      </w:r>
      <w:r>
        <w:t xml:space="preserve"> </w:t>
      </w:r>
      <w:r>
        <w:t xml:space="preserve">	</w:t>
      </w:r>
      <w:r>
        <w:t xml:space="preserve">L. Cai, X. Mao, Y. Zhou, Z. Long, C. Wu, and M. Lan,</w:t>
      </w:r>
      <w:r>
        <w:t xml:space="preserve"> </w:t>
      </w:r>
      <w:r>
        <w:t xml:space="preserve">“A survey on temporal knowledge graph: Representation learning and applications,”</w:t>
      </w:r>
      <w:r>
        <w:t xml:space="preserve"> </w:t>
      </w:r>
      <w:r>
        <w:rPr>
          <w:i/>
          <w:iCs/>
        </w:rPr>
        <w:t xml:space="preserve">arXiv.org</w:t>
      </w:r>
      <w:r>
        <w:t xml:space="preserve">, Mar. 2024, doi:</w:t>
      </w:r>
      <w:r>
        <w:t xml:space="preserve"> </w:t>
      </w:r>
      <w:hyperlink r:id="rId34">
        <w:r>
          <w:rPr>
            <w:rStyle w:val="Hyperlink"/>
          </w:rPr>
          <w:t xml:space="preserve">10.48550/arXiv.2403.04782</w:t>
        </w:r>
      </w:hyperlink>
      <w:r>
        <w:t xml:space="preserve">.</w:t>
      </w:r>
    </w:p>
    <w:p>
      <w:pPr>
        <w:pStyle w:val="BodyText"/>
      </w:pPr>
      <w:r>
        <w:t xml:space="preserve">[9]</w:t>
      </w:r>
      <w:r>
        <w:t xml:space="preserve"> </w:t>
      </w:r>
      <w:r>
        <w:t xml:space="preserve">	</w:t>
      </w:r>
      <w:r>
        <w:t xml:space="preserve">Z. Wang, J. Zhang, J. Feng, and Z. Chen,</w:t>
      </w:r>
      <w:r>
        <w:t xml:space="preserve"> </w:t>
      </w:r>
      <w:r>
        <w:t xml:space="preserve">“Knowledge graph embedding by translating on hyperplanes,”</w:t>
      </w:r>
      <w:r>
        <w:t xml:space="preserve"> </w:t>
      </w:r>
      <w:r>
        <w:rPr>
          <w:i/>
          <w:iCs/>
        </w:rPr>
        <w:t xml:space="preserve">Proceedings of the AAAI Conference on Artificial Intelligence</w:t>
      </w:r>
      <w:r>
        <w:t xml:space="preserve">, June 2014, doi:</w:t>
      </w:r>
      <w:r>
        <w:t xml:space="preserve"> </w:t>
      </w:r>
      <w:hyperlink r:id="rId35">
        <w:r>
          <w:rPr>
            <w:rStyle w:val="Hyperlink"/>
          </w:rPr>
          <w:t xml:space="preserve">https://doi.org/10.1609/aaai.v28i1.8870</w:t>
        </w:r>
      </w:hyperlink>
      <w:r>
        <w:t xml:space="preserve">.</w:t>
      </w:r>
    </w:p>
    <w:p>
      <w:pPr>
        <w:pStyle w:val="BodyText"/>
      </w:pPr>
      <w:r>
        <w:t xml:space="preserve">[10]</w:t>
      </w:r>
      <w:r>
        <w:t xml:space="preserve"> </w:t>
      </w:r>
      <w:r>
        <w:t xml:space="preserve">	</w:t>
      </w:r>
      <w:r>
        <w:t xml:space="preserve">N. Li, Z. Yang, Y. Yang, J. Wang, and H. Lin,</w:t>
      </w:r>
      <w:r>
        <w:t xml:space="preserve"> </w:t>
      </w:r>
      <w:r>
        <w:t xml:space="preserve">“Hyperbolic hierarchical knowledge graph embeddings for biological entities,”</w:t>
      </w:r>
      <w:r>
        <w:t xml:space="preserve"> </w:t>
      </w:r>
      <w:r>
        <w:rPr>
          <w:i/>
          <w:iCs/>
        </w:rPr>
        <w:t xml:space="preserve">Journal of Biomedical Informatics</w:t>
      </w:r>
      <w:r>
        <w:t xml:space="preserve">, Sept. 2023, doi:</w:t>
      </w:r>
      <w:r>
        <w:t xml:space="preserve"> </w:t>
      </w:r>
      <w:hyperlink r:id="rId36">
        <w:r>
          <w:rPr>
            <w:rStyle w:val="Hyperlink"/>
          </w:rPr>
          <w:t xml:space="preserve">10.1016/j.jbi.2023.104503</w:t>
        </w:r>
      </w:hyperlink>
      <w:r>
        <w:t xml:space="preserve">.</w:t>
      </w:r>
    </w:p>
    <w:p>
      <w:pPr>
        <w:pStyle w:val="BodyText"/>
      </w:pPr>
      <w:r>
        <w:t xml:space="preserve">[11]</w:t>
      </w:r>
      <w:r>
        <w:t xml:space="preserve"> </w:t>
      </w:r>
      <w:r>
        <w:t xml:space="preserve">	</w:t>
      </w:r>
      <w:r>
        <w:t xml:space="preserve">T. Cruz, B. Tavares, and F. Belo,</w:t>
      </w:r>
      <w:r>
        <w:t xml:space="preserve"> </w:t>
      </w:r>
      <w:r>
        <w:t xml:space="preserve">“Ontology learning and knowledge graph construction: A comparison of approaches and their impact on RAG performance,”</w:t>
      </w:r>
      <w:r>
        <w:t xml:space="preserve"> </w:t>
      </w:r>
      <w:r>
        <w:rPr>
          <w:i/>
          <w:iCs/>
        </w:rPr>
        <w:t xml:space="preserve">arXiv.org</w:t>
      </w:r>
      <w:r>
        <w:t xml:space="preserve">, Nov. 2025, doi:</w:t>
      </w:r>
      <w:r>
        <w:t xml:space="preserve"> </w:t>
      </w:r>
      <w:hyperlink r:id="rId37">
        <w:r>
          <w:rPr>
            <w:rStyle w:val="Hyperlink"/>
          </w:rPr>
          <w:t xml:space="preserve">10.48550/arXiv.2511.05991</w:t>
        </w:r>
      </w:hyperlink>
      <w:r>
        <w:t xml:space="preserve">.</w:t>
      </w:r>
    </w:p>
    <w:p>
      <w:pPr>
        <w:pStyle w:val="BodyText"/>
      </w:pPr>
      <w:r>
        <w:t xml:space="preserve">[12]</w:t>
      </w:r>
      <w:r>
        <w:t xml:space="preserve"> </w:t>
      </w:r>
      <w:r>
        <w:t xml:space="preserve">	</w:t>
      </w:r>
      <w:r>
        <w:t xml:space="preserve">M. Flüh, S.-Y. Kim, C. Schneider, and S. Geisler,</w:t>
      </w:r>
      <w:r>
        <w:t xml:space="preserve"> </w:t>
      </w:r>
      <w:r>
        <w:t xml:space="preserve">“FAIR GraphRAG: A retrieval-augmented generation approach for semantic data analysis,”</w:t>
      </w:r>
      <w:r>
        <w:t xml:space="preserve"> </w:t>
      </w:r>
      <w:r>
        <w:rPr>
          <w:i/>
          <w:iCs/>
        </w:rPr>
        <w:t xml:space="preserve">2025 IEEE International Conference on Knowledge Graph (ICKG)</w:t>
      </w:r>
      <w:r>
        <w:t xml:space="preserve">, Nov. 2025, doi:</w:t>
      </w:r>
      <w:r>
        <w:t xml:space="preserve"> </w:t>
      </w:r>
      <w:hyperlink r:id="rId38">
        <w:r>
          <w:rPr>
            <w:rStyle w:val="Hyperlink"/>
          </w:rPr>
          <w:t xml:space="preserve">10.1109/ICKG66886.2025.00019</w:t>
        </w:r>
      </w:hyperlink>
      <w:r>
        <w:t xml:space="preserve">.</w:t>
      </w:r>
    </w:p>
    <w:p>
      <w:pPr>
        <w:pStyle w:val="BodyText"/>
      </w:pPr>
      <w:r>
        <w:t xml:space="preserve">[13]</w:t>
      </w:r>
      <w:r>
        <w:t xml:space="preserve"> </w:t>
      </w:r>
      <w:r>
        <w:t xml:space="preserve">	</w:t>
      </w:r>
      <w:r>
        <w:t xml:space="preserve">K. Xu</w:t>
      </w:r>
      <w:r>
        <w:t xml:space="preserve"> </w:t>
      </w:r>
      <w:r>
        <w:rPr>
          <w:i/>
          <w:iCs/>
        </w:rPr>
        <w:t xml:space="preserve">et al.</w:t>
      </w:r>
      <w:r>
        <w:t xml:space="preserve">,</w:t>
      </w:r>
      <w:r>
        <w:t xml:space="preserve"> </w:t>
      </w:r>
      <w:r>
        <w:t xml:space="preserve">“Reasoning stability improvement for knowledge graph question answering based on gated attention and contrastive graph neural networks,”</w:t>
      </w:r>
      <w:r>
        <w:t xml:space="preserve"> </w:t>
      </w:r>
      <w:r>
        <w:rPr>
          <w:i/>
          <w:iCs/>
        </w:rPr>
        <w:t xml:space="preserve">2026 6th International Conference on Consumer Electronics and Computer Engineering (ICCECE)</w:t>
      </w:r>
      <w:r>
        <w:t xml:space="preserve">, Jan. 2026, doi:</w:t>
      </w:r>
      <w:r>
        <w:t xml:space="preserve"> </w:t>
      </w:r>
      <w:hyperlink r:id="rId39">
        <w:r>
          <w:rPr>
            <w:rStyle w:val="Hyperlink"/>
          </w:rPr>
          <w:t xml:space="preserve">10.1109/ICCECE69169.2026.11399833</w:t>
        </w:r>
      </w:hyperlink>
      <w:r>
        <w:t xml:space="preserve">.</w:t>
      </w:r>
    </w:p>
    <w:p>
      <w:pPr>
        <w:pStyle w:val="BodyText"/>
      </w:pPr>
      <w:r>
        <w:t xml:space="preserve">[14]</w:t>
      </w:r>
      <w:r>
        <w:t xml:space="preserve"> </w:t>
      </w:r>
      <w:r>
        <w:t xml:space="preserve">	</w:t>
      </w:r>
      <w:r>
        <w:t xml:space="preserve">G. Wang, R. Ying, J. Huang, and J. Leskovec,</w:t>
      </w:r>
      <w:r>
        <w:t xml:space="preserve"> </w:t>
      </w:r>
      <w:r>
        <w:t xml:space="preserve">“Multi-hop attention graph neural networks,”</w:t>
      </w:r>
      <w:r>
        <w:t xml:space="preserve"> </w:t>
      </w:r>
      <w:r>
        <w:rPr>
          <w:i/>
          <w:iCs/>
        </w:rPr>
        <w:t xml:space="preserve">International Joint Conference on Artificial Intelligence</w:t>
      </w:r>
      <w:r>
        <w:t xml:space="preserve">, Sept. 2020, doi:</w:t>
      </w:r>
      <w:r>
        <w:t xml:space="preserve"> </w:t>
      </w:r>
      <w:hyperlink r:id="rId40">
        <w:r>
          <w:rPr>
            <w:rStyle w:val="Hyperlink"/>
          </w:rPr>
          <w:t xml:space="preserve">10.24963/ijcai.2021/425</w:t>
        </w:r>
      </w:hyperlink>
      <w:r>
        <w:t xml:space="preserve">.</w:t>
      </w:r>
    </w:p>
    <w:p>
      <w:pPr>
        <w:pStyle w:val="BodyText"/>
      </w:pPr>
      <w:r>
        <w:t xml:space="preserve">[15]</w:t>
      </w:r>
      <w:r>
        <w:t xml:space="preserve"> </w:t>
      </w:r>
      <w:r>
        <w:t xml:space="preserve">	</w:t>
      </w:r>
      <w:r>
        <w:t xml:space="preserve">X. Li</w:t>
      </w:r>
      <w:r>
        <w:t xml:space="preserve"> </w:t>
      </w:r>
      <w:r>
        <w:rPr>
          <w:i/>
          <w:iCs/>
        </w:rPr>
        <w:t xml:space="preserve">et al.</w:t>
      </w:r>
      <w:r>
        <w:t xml:space="preserve">,</w:t>
      </w:r>
      <w:r>
        <w:t xml:space="preserve"> </w:t>
      </w:r>
      <w:r>
        <w:t xml:space="preserve">“ScaleGNN: Towards scalable graph neural networks via adaptive high-order neighboring feature fusion,”</w:t>
      </w:r>
      <w:r>
        <w:t xml:space="preserve"> </w:t>
      </w:r>
      <w:r>
        <w:rPr>
          <w:i/>
          <w:iCs/>
        </w:rPr>
        <w:t xml:space="preserve">Proceedings of the ACM Web Conference 2026</w:t>
      </w:r>
      <w:r>
        <w:t xml:space="preserve">, Apr. 2025, doi:</w:t>
      </w:r>
      <w:r>
        <w:t xml:space="preserve"> </w:t>
      </w:r>
      <w:hyperlink r:id="rId41">
        <w:r>
          <w:rPr>
            <w:rStyle w:val="Hyperlink"/>
          </w:rPr>
          <w:t xml:space="preserve">10.1145/3774904.3792347</w:t>
        </w:r>
      </w:hyperlink>
      <w:r>
        <w:t xml:space="preserve">.</w:t>
      </w:r>
    </w:p>
    <w:p>
      <w:pPr>
        <w:pStyle w:val="BodyText"/>
      </w:pPr>
      <w:r>
        <w:t xml:space="preserve">[16]</w:t>
      </w:r>
      <w:r>
        <w:t xml:space="preserve"> </w:t>
      </w:r>
      <w:r>
        <w:t xml:space="preserve">	</w:t>
      </w:r>
      <w:r>
        <w:t xml:space="preserve">Z. Deng, Y. Zhu, Q. Qi, M. Witbrock, and P. Riddle,</w:t>
      </w:r>
      <w:r>
        <w:t xml:space="preserve"> </w:t>
      </w:r>
      <w:r>
        <w:t xml:space="preserve">“Explicit graph reasoning fusing knowledge and contextual information for multi-hop question answering,”</w:t>
      </w:r>
      <w:r>
        <w:t xml:space="preserve"> </w:t>
      </w:r>
      <w:r>
        <w:rPr>
          <w:i/>
          <w:iCs/>
        </w:rPr>
        <w:t xml:space="preserve">None</w:t>
      </w:r>
      <w:r>
        <w:t xml:space="preserve">, Jan. 2022, doi:</w:t>
      </w:r>
      <w:r>
        <w:t xml:space="preserve"> </w:t>
      </w:r>
      <w:hyperlink r:id="rId42">
        <w:r>
          <w:rPr>
            <w:rStyle w:val="Hyperlink"/>
          </w:rPr>
          <w:t xml:space="preserve">https://doi.org/10.18653/v1/2022.dlg4nlp-1.8</w:t>
        </w:r>
      </w:hyperlink>
      <w:r>
        <w:t xml:space="preserve">.</w:t>
      </w:r>
    </w:p>
    <w:p>
      <w:pPr>
        <w:pStyle w:val="BodyText"/>
      </w:pPr>
      <w:r>
        <w:t xml:space="preserve">[17]</w:t>
      </w:r>
      <w:r>
        <w:t xml:space="preserve"> </w:t>
      </w:r>
      <w:r>
        <w:t xml:space="preserve">	</w:t>
      </w:r>
      <w:r>
        <w:t xml:space="preserve">T. Ni</w:t>
      </w:r>
      <w:r>
        <w:t xml:space="preserve"> </w:t>
      </w:r>
      <w:r>
        <w:rPr>
          <w:i/>
          <w:iCs/>
        </w:rPr>
        <w:t xml:space="preserve">et al.</w:t>
      </w:r>
      <w:r>
        <w:t xml:space="preserve">,</w:t>
      </w:r>
      <w:r>
        <w:t xml:space="preserve"> </w:t>
      </w:r>
      <w:r>
        <w:t xml:space="preserve">“StepChain GraphRAG: Reasoning over knowledge graphs for multi-hop question answering,”</w:t>
      </w:r>
      <w:r>
        <w:t xml:space="preserve"> </w:t>
      </w:r>
      <w:r>
        <w:rPr>
          <w:i/>
          <w:iCs/>
        </w:rPr>
        <w:t xml:space="preserve">arXiv.org</w:t>
      </w:r>
      <w:r>
        <w:t xml:space="preserve">, Oct. 2025, doi:</w:t>
      </w:r>
      <w:r>
        <w:t xml:space="preserve"> </w:t>
      </w:r>
      <w:hyperlink r:id="rId43">
        <w:r>
          <w:rPr>
            <w:rStyle w:val="Hyperlink"/>
          </w:rPr>
          <w:t xml:space="preserve">10.48550/arXiv.2510.02827</w:t>
        </w:r>
      </w:hyperlink>
      <w:r>
        <w:t xml:space="preserve">.</w:t>
      </w:r>
    </w:p>
    <w:p>
      <w:pPr>
        <w:pStyle w:val="BodyText"/>
      </w:pPr>
      <w:r>
        <w:t xml:space="preserve">[18]</w:t>
      </w:r>
      <w:r>
        <w:t xml:space="preserve"> </w:t>
      </w:r>
      <w:r>
        <w:t xml:space="preserve">	</w:t>
      </w:r>
      <w:r>
        <w:t xml:space="preserve">K. Guo</w:t>
      </w:r>
      <w:r>
        <w:t xml:space="preserve"> </w:t>
      </w:r>
      <w:r>
        <w:rPr>
          <w:i/>
          <w:iCs/>
        </w:rPr>
        <w:t xml:space="preserve">et al.</w:t>
      </w:r>
      <w:r>
        <w:t xml:space="preserve">,</w:t>
      </w:r>
      <w:r>
        <w:t xml:space="preserve"> </w:t>
      </w:r>
      <w:r>
        <w:t xml:space="preserve">“Beyond static retrieval: Opportunities and pitfalls of iterative retrieval in GraphRAG,”</w:t>
      </w:r>
      <w:r>
        <w:t xml:space="preserve"> </w:t>
      </w:r>
      <w:r>
        <w:rPr>
          <w:i/>
          <w:iCs/>
        </w:rPr>
        <w:t xml:space="preserve">arXiv.org</w:t>
      </w:r>
      <w:r>
        <w:t xml:space="preserve">, Sept. 2025, doi:</w:t>
      </w:r>
      <w:r>
        <w:t xml:space="preserve"> </w:t>
      </w:r>
      <w:hyperlink r:id="rId44">
        <w:r>
          <w:rPr>
            <w:rStyle w:val="Hyperlink"/>
          </w:rPr>
          <w:t xml:space="preserve">10.48550/arXiv.2509.25530</w:t>
        </w:r>
      </w:hyperlink>
      <w:r>
        <w:t xml:space="preserve">.</w:t>
      </w:r>
    </w:p>
    <w:p>
      <w:pPr>
        <w:pStyle w:val="BodyText"/>
      </w:pPr>
      <w:r>
        <w:t xml:space="preserve">[19]</w:t>
      </w:r>
      <w:r>
        <w:t xml:space="preserve"> </w:t>
      </w:r>
      <w:r>
        <w:t xml:space="preserve">	</w:t>
      </w:r>
      <w:r>
        <w:t xml:space="preserve">Y. Chen, S. Sun, and X. Hu,</w:t>
      </w:r>
      <w:r>
        <w:t xml:space="preserve"> </w:t>
      </w:r>
      <w:r>
        <w:t xml:space="preserve">“DRKG: Faithful and interpretable multi-hop knowledge graph question answering via LLM-guided reasoning plans,”</w:t>
      </w:r>
      <w:r>
        <w:t xml:space="preserve"> </w:t>
      </w:r>
      <w:r>
        <w:rPr>
          <w:i/>
          <w:iCs/>
        </w:rPr>
        <w:t xml:space="preserve">Applied Sciences</w:t>
      </w:r>
      <w:r>
        <w:t xml:space="preserve">, June 2025, doi:</w:t>
      </w:r>
      <w:r>
        <w:t xml:space="preserve"> </w:t>
      </w:r>
      <w:hyperlink r:id="rId45">
        <w:r>
          <w:rPr>
            <w:rStyle w:val="Hyperlink"/>
          </w:rPr>
          <w:t xml:space="preserve">10.3390/app15126722</w:t>
        </w:r>
      </w:hyperlink>
      <w:r>
        <w:t xml:space="preserve">.</w:t>
      </w:r>
    </w:p>
    <w:p>
      <w:pPr>
        <w:pStyle w:val="BodyText"/>
      </w:pPr>
      <w:r>
        <w:t xml:space="preserve">[20]</w:t>
      </w:r>
      <w:r>
        <w:t xml:space="preserve"> </w:t>
      </w:r>
      <w:r>
        <w:t xml:space="preserve">	</w:t>
      </w:r>
      <w:r>
        <w:t xml:space="preserve">J. R. Kasireddy,</w:t>
      </w:r>
      <w:r>
        <w:t xml:space="preserve"> </w:t>
      </w:r>
      <w:r>
        <w:t xml:space="preserve">“Vector databases and the long-tail query problem: A semantic approach to information retrieval,”</w:t>
      </w:r>
      <w:r>
        <w:t xml:space="preserve"> </w:t>
      </w:r>
      <w:r>
        <w:rPr>
          <w:i/>
          <w:iCs/>
        </w:rPr>
        <w:t xml:space="preserve">International journal of future innovative science and technology</w:t>
      </w:r>
      <w:r>
        <w:t xml:space="preserve">, Nov. 2025, doi:</w:t>
      </w:r>
      <w:r>
        <w:t xml:space="preserve"> </w:t>
      </w:r>
      <w:hyperlink r:id="rId46">
        <w:r>
          <w:rPr>
            <w:rStyle w:val="Hyperlink"/>
          </w:rPr>
          <w:t xml:space="preserve">10.15662/ijfist.2025.0806003</w:t>
        </w:r>
      </w:hyperlink>
      <w:r>
        <w:t xml:space="preserve">.</w:t>
      </w:r>
    </w:p>
    <w:p>
      <w:pPr>
        <w:pStyle w:val="BodyText"/>
      </w:pPr>
      <w:r>
        <w:t xml:space="preserve">[21]</w:t>
      </w:r>
      <w:r>
        <w:t xml:space="preserve"> </w:t>
      </w:r>
      <w:r>
        <w:t xml:space="preserve">	</w:t>
      </w:r>
      <w:r>
        <w:t xml:space="preserve">X. Zhou, Y. Gao, X. Jie, X. Cai, J. Bu, and H. Wang,</w:t>
      </w:r>
      <w:r>
        <w:t xml:space="preserve"> </w:t>
      </w:r>
      <w:r>
        <w:t xml:space="preserve">“EASE-DR: Enhanced sentence embeddings for dense retrieval,”</w:t>
      </w:r>
      <w:r>
        <w:t xml:space="preserve"> </w:t>
      </w:r>
      <w:r>
        <w:rPr>
          <w:i/>
          <w:iCs/>
        </w:rPr>
        <w:t xml:space="preserve">Annual International ACM SIGIR Conference on Research and Development in Information Retrieval</w:t>
      </w:r>
      <w:r>
        <w:t xml:space="preserve">, July 2024, doi:</w:t>
      </w:r>
      <w:r>
        <w:t xml:space="preserve"> </w:t>
      </w:r>
      <w:hyperlink r:id="rId47">
        <w:r>
          <w:rPr>
            <w:rStyle w:val="Hyperlink"/>
          </w:rPr>
          <w:t xml:space="preserve">10.1145/3626772.3657925</w:t>
        </w:r>
      </w:hyperlink>
      <w:r>
        <w:t xml:space="preserve">.</w:t>
      </w:r>
    </w:p>
    <w:p>
      <w:pPr>
        <w:pStyle w:val="BodyText"/>
      </w:pPr>
      <w:r>
        <w:t xml:space="preserve">[22]</w:t>
      </w:r>
      <w:r>
        <w:t xml:space="preserve"> </w:t>
      </w:r>
      <w:r>
        <w:t xml:space="preserve">	</w:t>
      </w:r>
      <w:r>
        <w:t xml:space="preserve">S. Bansal, T. Choudhary, and R. Pal,</w:t>
      </w:r>
      <w:r>
        <w:t xml:space="preserve"> </w:t>
      </w:r>
      <w:r>
        <w:t xml:space="preserve">“Intelli-query: A large language model system for semantic retrieval and document understanding,”</w:t>
      </w:r>
      <w:r>
        <w:t xml:space="preserve"> </w:t>
      </w:r>
      <w:r>
        <w:rPr>
          <w:i/>
          <w:iCs/>
        </w:rPr>
        <w:t xml:space="preserve">2026 5th International Conference on Innovative Practices in Technology and Management (ICIPTM)</w:t>
      </w:r>
      <w:r>
        <w:t xml:space="preserve">, Feb. 2026, doi:</w:t>
      </w:r>
      <w:r>
        <w:t xml:space="preserve"> </w:t>
      </w:r>
      <w:hyperlink r:id="rId48">
        <w:r>
          <w:rPr>
            <w:rStyle w:val="Hyperlink"/>
          </w:rPr>
          <w:t xml:space="preserve">10.1109/ICIPTM69057.2026.11465331</w:t>
        </w:r>
      </w:hyperlink>
      <w:r>
        <w:t xml:space="preserve">.</w:t>
      </w:r>
    </w:p>
    <w:p>
      <w:pPr>
        <w:pStyle w:val="BodyText"/>
      </w:pPr>
      <w:r>
        <w:t xml:space="preserve">[23]</w:t>
      </w:r>
      <w:r>
        <w:t xml:space="preserve"> </w:t>
      </w:r>
      <w:r>
        <w:t xml:space="preserve">	</w:t>
      </w:r>
      <w:r>
        <w:t xml:space="preserve">H. Lee and S. Lim,</w:t>
      </w:r>
      <w:r>
        <w:t xml:space="preserve"> </w:t>
      </w:r>
      <w:r>
        <w:t xml:space="preserve">“Hybrid retrieval-augmented generation: Semantic and structural integration for large language model reasoning,”</w:t>
      </w:r>
      <w:r>
        <w:t xml:space="preserve"> </w:t>
      </w:r>
      <w:r>
        <w:rPr>
          <w:i/>
          <w:iCs/>
        </w:rPr>
        <w:t xml:space="preserve">Applied Sciences</w:t>
      </w:r>
      <w:r>
        <w:t xml:space="preserve">, Feb. 2026, doi:</w:t>
      </w:r>
      <w:r>
        <w:t xml:space="preserve"> </w:t>
      </w:r>
      <w:hyperlink r:id="rId49">
        <w:r>
          <w:rPr>
            <w:rStyle w:val="Hyperlink"/>
          </w:rPr>
          <w:t xml:space="preserve">10.3390/app16052244</w:t>
        </w:r>
      </w:hyperlink>
      <w:r>
        <w:t xml:space="preserve">.</w:t>
      </w:r>
    </w:p>
    <w:p>
      <w:pPr>
        <w:pStyle w:val="BodyText"/>
      </w:pPr>
      <w:r>
        <w:t xml:space="preserve">[24]</w:t>
      </w:r>
      <w:r>
        <w:t xml:space="preserve"> </w:t>
      </w:r>
      <w:r>
        <w:t xml:space="preserve">	</w:t>
      </w:r>
      <w:r>
        <w:t xml:space="preserve">J.-S. Yang, Z. Zeng, and Z. Shen,</w:t>
      </w:r>
      <w:r>
        <w:t xml:space="preserve"> </w:t>
      </w:r>
      <w:r>
        <w:t xml:space="preserve">“Neural-symbolic dual-indexing architectures for scalable retrieval-augmented generation,”</w:t>
      </w:r>
      <w:r>
        <w:t xml:space="preserve"> </w:t>
      </w:r>
      <w:r>
        <w:rPr>
          <w:i/>
          <w:iCs/>
        </w:rPr>
        <w:t xml:space="preserve">IEEE Access</w:t>
      </w:r>
      <w:r>
        <w:t xml:space="preserve">, 2025, doi:</w:t>
      </w:r>
      <w:r>
        <w:t xml:space="preserve"> </w:t>
      </w:r>
      <w:hyperlink r:id="rId50">
        <w:r>
          <w:rPr>
            <w:rStyle w:val="Hyperlink"/>
          </w:rPr>
          <w:t xml:space="preserve">10.1109/ACCESS.2025.3638761</w:t>
        </w:r>
      </w:hyperlink>
      <w:r>
        <w:t xml:space="preserve">.</w:t>
      </w:r>
    </w:p>
    <w:p>
      <w:pPr>
        <w:pStyle w:val="BodyText"/>
      </w:pPr>
      <w:r>
        <w:t xml:space="preserve">[25]</w:t>
      </w:r>
      <w:r>
        <w:t xml:space="preserve"> </w:t>
      </w:r>
      <w:r>
        <w:t xml:space="preserve">	</w:t>
      </w:r>
      <w:r>
        <w:t xml:space="preserve">D. Sengupta, S. Chatterjee, P. Dutta, and A. Bandyopadhyay,</w:t>
      </w:r>
      <w:r>
        <w:t xml:space="preserve"> </w:t>
      </w:r>
      <w:r>
        <w:t xml:space="preserve">“Adaptive knowledge retrieval in multimodal GraphRAG via cross-modal relationship learning,”</w:t>
      </w:r>
      <w:r>
        <w:t xml:space="preserve"> </w:t>
      </w:r>
      <w:r>
        <w:rPr>
          <w:i/>
          <w:iCs/>
        </w:rPr>
        <w:t xml:space="preserve">Conference on Algebraic Informatics</w:t>
      </w:r>
      <w:r>
        <w:t xml:space="preserve">, May 2026, doi:</w:t>
      </w:r>
      <w:r>
        <w:t xml:space="preserve"> </w:t>
      </w:r>
      <w:hyperlink r:id="rId51">
        <w:r>
          <w:rPr>
            <w:rStyle w:val="Hyperlink"/>
          </w:rPr>
          <w:t xml:space="preserve">10.1109/CAI68641.2026.11536532</w:t>
        </w:r>
      </w:hyperlink>
      <w:r>
        <w:t xml:space="preserve">.</w:t>
      </w:r>
    </w:p>
    <w:p>
      <w:pPr>
        <w:pStyle w:val="BodyText"/>
      </w:pPr>
      <w:r>
        <w:t xml:space="preserve">[26]</w:t>
      </w:r>
      <w:r>
        <w:t xml:space="preserve"> </w:t>
      </w:r>
      <w:r>
        <w:t xml:space="preserve">	</w:t>
      </w:r>
      <w:r>
        <w:t xml:space="preserve">X. Wan and H. Yu,</w:t>
      </w:r>
      <w:r>
        <w:t xml:space="preserve"> </w:t>
      </w:r>
      <w:r>
        <w:t xml:space="preserve">“MMGraphRAG: Bridging vision and language with interpretable multimodal knowledge graphs,”</w:t>
      </w:r>
      <w:r>
        <w:t xml:space="preserve"> </w:t>
      </w:r>
      <w:r>
        <w:rPr>
          <w:i/>
          <w:iCs/>
        </w:rPr>
        <w:t xml:space="preserve">arXiv.org</w:t>
      </w:r>
      <w:r>
        <w:t xml:space="preserve">, July 2025, doi:</w:t>
      </w:r>
      <w:r>
        <w:t xml:space="preserve"> </w:t>
      </w:r>
      <w:hyperlink r:id="rId52">
        <w:r>
          <w:rPr>
            <w:rStyle w:val="Hyperlink"/>
          </w:rPr>
          <w:t xml:space="preserve">10.48550/arXiv.2507.20804</w:t>
        </w:r>
      </w:hyperlink>
      <w:r>
        <w:t xml:space="preserve">.</w:t>
      </w:r>
    </w:p>
    <w:p>
      <w:pPr>
        <w:pStyle w:val="BodyText"/>
      </w:pPr>
      <w:r>
        <w:t xml:space="preserve">[27]</w:t>
      </w:r>
      <w:r>
        <w:t xml:space="preserve"> </w:t>
      </w:r>
      <w:r>
        <w:t xml:space="preserve">	</w:t>
      </w:r>
      <w:r>
        <w:t xml:space="preserve">S. Arora,</w:t>
      </w:r>
      <w:r>
        <w:t xml:space="preserve"> </w:t>
      </w:r>
      <w:r>
        <w:t xml:space="preserve">“Transforming AI decision support system with knowledge graphs &amp; CAG,”</w:t>
      </w:r>
      <w:r>
        <w:t xml:space="preserve"> </w:t>
      </w:r>
      <w:r>
        <w:rPr>
          <w:i/>
          <w:iCs/>
        </w:rPr>
        <w:t xml:space="preserve">International Journal on Engineering Artificial Intelligence Management, Decision Support, and Policies</w:t>
      </w:r>
      <w:r>
        <w:t xml:space="preserve">, May 2025, doi:</w:t>
      </w:r>
      <w:r>
        <w:t xml:space="preserve"> </w:t>
      </w:r>
      <w:hyperlink r:id="rId53">
        <w:r>
          <w:rPr>
            <w:rStyle w:val="Hyperlink"/>
          </w:rPr>
          <w:t xml:space="preserve">10.63503/j.ijaimd.2025.110</w:t>
        </w:r>
      </w:hyperlink>
      <w:r>
        <w:t xml:space="preserve">.</w:t>
      </w:r>
    </w:p>
    <w:p>
      <w:pPr>
        <w:pStyle w:val="BodyText"/>
      </w:pPr>
      <w:r>
        <w:t xml:space="preserve">[28]</w:t>
      </w:r>
      <w:r>
        <w:t xml:space="preserve"> </w:t>
      </w:r>
      <w:r>
        <w:t xml:space="preserve">	</w:t>
      </w:r>
      <w:r>
        <w:t xml:space="preserve">Y. Zhang, N. Chen, Y. Zhang, and W. Wu,</w:t>
      </w:r>
      <w:r>
        <w:t xml:space="preserve"> </w:t>
      </w:r>
      <w:r>
        <w:t xml:space="preserve">“Research on business decision support system based on big data and artificial intelligence,”</w:t>
      </w:r>
      <w:r>
        <w:t xml:space="preserve"> </w:t>
      </w:r>
      <w:r>
        <w:rPr>
          <w:i/>
          <w:iCs/>
        </w:rPr>
        <w:t xml:space="preserve">2025 International Conference on Data Science and Its Applications (ICoDSA)</w:t>
      </w:r>
      <w:r>
        <w:t xml:space="preserve">, July 2025, doi:</w:t>
      </w:r>
      <w:r>
        <w:t xml:space="preserve"> </w:t>
      </w:r>
      <w:hyperlink r:id="rId54">
        <w:r>
          <w:rPr>
            <w:rStyle w:val="Hyperlink"/>
          </w:rPr>
          <w:t xml:space="preserve">10.1109/ICoDSA67155.2025.11157569</w:t>
        </w:r>
      </w:hyperlink>
      <w:r>
        <w:t xml:space="preserve">.</w:t>
      </w:r>
    </w:p>
    <w:p>
      <w:pPr>
        <w:pStyle w:val="BodyText"/>
      </w:pPr>
      <w:r>
        <w:t xml:space="preserve">[29]</w:t>
      </w:r>
      <w:r>
        <w:t xml:space="preserve"> </w:t>
      </w:r>
      <w:r>
        <w:t xml:space="preserve">	</w:t>
      </w:r>
      <w:r>
        <w:t xml:space="preserve">X. Zhang,</w:t>
      </w:r>
      <w:r>
        <w:t xml:space="preserve"> </w:t>
      </w:r>
      <w:r>
        <w:t xml:space="preserve">“Intelligent recruitment decision support combining transformer model and knowledge graph,”</w:t>
      </w:r>
      <w:r>
        <w:t xml:space="preserve"> </w:t>
      </w:r>
      <w:r>
        <w:rPr>
          <w:i/>
          <w:iCs/>
        </w:rPr>
        <w:t xml:space="preserve">2024 International Conference on Machine Intelligence and Digital Applications</w:t>
      </w:r>
      <w:r>
        <w:t xml:space="preserve">, May 2024, doi:</w:t>
      </w:r>
      <w:r>
        <w:t xml:space="preserve"> </w:t>
      </w:r>
      <w:hyperlink r:id="rId55">
        <w:r>
          <w:rPr>
            <w:rStyle w:val="Hyperlink"/>
          </w:rPr>
          <w:t xml:space="preserve">10.1145/3662739.3672315</w:t>
        </w:r>
      </w:hyperlink>
      <w:r>
        <w:t xml:space="preserve">.</w:t>
      </w:r>
    </w:p>
    <w:p>
      <w:pPr>
        <w:pStyle w:val="BodyText"/>
      </w:pPr>
      <w:r>
        <w:t xml:space="preserve">[30]</w:t>
      </w:r>
      <w:r>
        <w:t xml:space="preserve"> </w:t>
      </w:r>
      <w:r>
        <w:t xml:space="preserve">	</w:t>
      </w:r>
      <w:r>
        <w:t xml:space="preserve">Y. Shang</w:t>
      </w:r>
      <w:r>
        <w:t xml:space="preserve"> </w:t>
      </w:r>
      <w:r>
        <w:rPr>
          <w:i/>
          <w:iCs/>
        </w:rPr>
        <w:t xml:space="preserve">et al.</w:t>
      </w:r>
      <w:r>
        <w:t xml:space="preserve">,</w:t>
      </w:r>
      <w:r>
        <w:t xml:space="preserve"> </w:t>
      </w:r>
      <w:r>
        <w:t xml:space="preserve">“Electronic health record–oriented knowledge graph system for collaborative clinical decision support using multicenter fragmented medical data: Design and application study,”</w:t>
      </w:r>
      <w:r>
        <w:t xml:space="preserve"> </w:t>
      </w:r>
      <w:r>
        <w:rPr>
          <w:i/>
          <w:iCs/>
        </w:rPr>
        <w:t xml:space="preserve">Journal of Medical Internet Research</w:t>
      </w:r>
      <w:r>
        <w:t xml:space="preserve">, July 2024, doi:</w:t>
      </w:r>
      <w:r>
        <w:t xml:space="preserve"> </w:t>
      </w:r>
      <w:hyperlink r:id="rId56">
        <w:r>
          <w:rPr>
            <w:rStyle w:val="Hyperlink"/>
          </w:rPr>
          <w:t xml:space="preserve">10.2196/54263</w:t>
        </w:r>
      </w:hyperlink>
      <w:r>
        <w:t xml:space="preserve">.</w:t>
      </w:r>
    </w:p>
    <w:p>
      <w:pPr>
        <w:pStyle w:val="BodyText"/>
      </w:pPr>
      <w:r>
        <w:t xml:space="preserve">[31]</w:t>
      </w:r>
      <w:r>
        <w:t xml:space="preserve"> </w:t>
      </w:r>
      <w:r>
        <w:t xml:space="preserve">	</w:t>
      </w:r>
      <w:r>
        <w:t xml:space="preserve">G. Zhou</w:t>
      </w:r>
      <w:r>
        <w:t xml:space="preserve"> </w:t>
      </w:r>
      <w:r>
        <w:rPr>
          <w:i/>
          <w:iCs/>
        </w:rPr>
        <w:t xml:space="preserve">et al.</w:t>
      </w:r>
      <w:r>
        <w:t xml:space="preserve">,</w:t>
      </w:r>
      <w:r>
        <w:t xml:space="preserve"> </w:t>
      </w:r>
      <w:r>
        <w:t xml:space="preserve">“Clinical decision support system for hypertension medication based on knowledge graph,”</w:t>
      </w:r>
      <w:r>
        <w:t xml:space="preserve"> </w:t>
      </w:r>
      <w:r>
        <w:rPr>
          <w:i/>
          <w:iCs/>
        </w:rPr>
        <w:t xml:space="preserve">Comput. Methods Programs Biomed.</w:t>
      </w:r>
      <w:r>
        <w:t xml:space="preserve">, Nov. 2022, doi:</w:t>
      </w:r>
      <w:r>
        <w:t xml:space="preserve"> </w:t>
      </w:r>
      <w:hyperlink r:id="rId57">
        <w:r>
          <w:rPr>
            <w:rStyle w:val="Hyperlink"/>
          </w:rPr>
          <w:t xml:space="preserve">10.1016/j.cmpb.2022.107220</w:t>
        </w:r>
      </w:hyperlink>
      <w:r>
        <w:t xml:space="preserve">.</w:t>
      </w:r>
    </w:p>
    <w:p>
      <w:pPr>
        <w:pStyle w:val="BodyText"/>
      </w:pPr>
      <w:r>
        <w:t xml:space="preserve">[32]</w:t>
      </w:r>
      <w:r>
        <w:t xml:space="preserve"> </w:t>
      </w:r>
      <w:r>
        <w:t xml:space="preserve">	</w:t>
      </w:r>
      <w:r>
        <w:t xml:space="preserve">Y. Khan, P. Tworek, L. Gherardini, R. Lewandowski, M. Mikolajczyk, and J. L. R. Sousa,</w:t>
      </w:r>
      <w:r>
        <w:t xml:space="preserve"> </w:t>
      </w:r>
      <w:r>
        <w:t xml:space="preserve">“Compositional knowledge graph for clinical decision support in pediatric allergy diagnostics,”</w:t>
      </w:r>
      <w:r>
        <w:t xml:space="preserve"> </w:t>
      </w:r>
      <w:r>
        <w:rPr>
          <w:i/>
          <w:iCs/>
        </w:rPr>
        <w:t xml:space="preserve">2025 International Conference on Artificial Intelligence, Computer, Data Sciences and Applications (ACDSA)</w:t>
      </w:r>
      <w:r>
        <w:t xml:space="preserve">, Aug. 2025, doi:</w:t>
      </w:r>
      <w:r>
        <w:t xml:space="preserve"> </w:t>
      </w:r>
      <w:hyperlink r:id="rId58">
        <w:r>
          <w:rPr>
            <w:rStyle w:val="Hyperlink"/>
          </w:rPr>
          <w:t xml:space="preserve">10.1109/ACDSA65407.2025.11165954</w:t>
        </w:r>
      </w:hyperlink>
      <w:r>
        <w:t xml:space="preserve">.</w:t>
      </w:r>
    </w:p>
    <w:p>
      <w:pPr>
        <w:pStyle w:val="BodyText"/>
      </w:pPr>
      <w:r>
        <w:t xml:space="preserve">[33]</w:t>
      </w:r>
      <w:r>
        <w:t xml:space="preserve"> </w:t>
      </w:r>
      <w:r>
        <w:t xml:space="preserve">	</w:t>
      </w:r>
      <w:r>
        <w:t xml:space="preserve">B. Agarwal, H. S. Jomraj, S. Kaplunov, J. Krolick, and V. Rojkova,</w:t>
      </w:r>
      <w:r>
        <w:t xml:space="preserve"> </w:t>
      </w:r>
      <w:r>
        <w:t xml:space="preserve">“RAGulating compliance: A multi-agent knowledge graph for regulatory QA,”</w:t>
      </w:r>
      <w:r>
        <w:t xml:space="preserve"> </w:t>
      </w:r>
      <w:r>
        <w:rPr>
          <w:i/>
          <w:iCs/>
        </w:rPr>
        <w:t xml:space="preserve">arXiv.org</w:t>
      </w:r>
      <w:r>
        <w:t xml:space="preserve">, Aug. 2025, doi:</w:t>
      </w:r>
      <w:r>
        <w:t xml:space="preserve"> </w:t>
      </w:r>
      <w:hyperlink r:id="rId59">
        <w:r>
          <w:rPr>
            <w:rStyle w:val="Hyperlink"/>
          </w:rPr>
          <w:t xml:space="preserve">10.48550/arXiv.2508.09893</w:t>
        </w:r>
      </w:hyperlink>
      <w:r>
        <w:t xml:space="preserve">.</w:t>
      </w:r>
    </w:p>
    <w:p>
      <w:pPr>
        <w:pStyle w:val="BodyText"/>
      </w:pPr>
      <w:r>
        <w:t xml:space="preserve">[34]</w:t>
      </w:r>
      <w:r>
        <w:t xml:space="preserve"> </w:t>
      </w:r>
      <w:r>
        <w:t xml:space="preserve">	</w:t>
      </w:r>
      <w:r>
        <w:t xml:space="preserve">G. Papageorgiou, V. Sarlis, M. Μaragoudakis, and C. Tjortjis,</w:t>
      </w:r>
      <w:r>
        <w:t xml:space="preserve"> </w:t>
      </w:r>
      <w:r>
        <w:t xml:space="preserve">“Hybrid multi-agent GraphRAG for e-government: Towards a trustworthy AI assistant,”</w:t>
      </w:r>
      <w:r>
        <w:t xml:space="preserve"> </w:t>
      </w:r>
      <w:r>
        <w:rPr>
          <w:i/>
          <w:iCs/>
        </w:rPr>
        <w:t xml:space="preserve">Applied Sciences</w:t>
      </w:r>
      <w:r>
        <w:t xml:space="preserve">, June 2025, doi:</w:t>
      </w:r>
      <w:r>
        <w:t xml:space="preserve"> </w:t>
      </w:r>
      <w:hyperlink r:id="rId60">
        <w:r>
          <w:rPr>
            <w:rStyle w:val="Hyperlink"/>
          </w:rPr>
          <w:t xml:space="preserve">https://doi.org/10.3390/app15116315</w:t>
        </w:r>
      </w:hyperlink>
      <w:r>
        <w:t xml:space="preserve">.</w:t>
      </w:r>
    </w:p>
    <w:p>
      <w:pPr>
        <w:pStyle w:val="BodyText"/>
      </w:pPr>
      <w:r>
        <w:t xml:space="preserve">[35]</w:t>
      </w:r>
      <w:r>
        <w:t xml:space="preserve"> </w:t>
      </w:r>
      <w:r>
        <w:t xml:space="preserve">	</w:t>
      </w:r>
      <w:r>
        <w:t xml:space="preserve">D. S. Roll, Z. Kurt, Y. Li, and W. L. Woo,</w:t>
      </w:r>
      <w:r>
        <w:t xml:space="preserve"> </w:t>
      </w:r>
      <w:r>
        <w:t xml:space="preserve">“Augmenting orbital debris identification with Neo4j-enabled graph-based retrieval-augmented generation for multimodal large language models,”</w:t>
      </w:r>
      <w:r>
        <w:t xml:space="preserve"> </w:t>
      </w:r>
      <w:r>
        <w:rPr>
          <w:i/>
          <w:iCs/>
        </w:rPr>
        <w:t xml:space="preserve">Sensors</w:t>
      </w:r>
      <w:r>
        <w:t xml:space="preserve">, May 2025, doi:</w:t>
      </w:r>
      <w:r>
        <w:t xml:space="preserve"> </w:t>
      </w:r>
      <w:hyperlink r:id="rId61">
        <w:r>
          <w:rPr>
            <w:rStyle w:val="Hyperlink"/>
          </w:rPr>
          <w:t xml:space="preserve">https://doi.org/10.3390/s25113352</w:t>
        </w:r>
      </w:hyperlink>
      <w:r>
        <w:t xml:space="preserve">.</w:t>
      </w:r>
    </w:p>
    <w:p>
      <w:pPr>
        <w:pStyle w:val="BodyText"/>
      </w:pPr>
      <w:r>
        <w:t xml:space="preserve">[36]</w:t>
      </w:r>
      <w:r>
        <w:t xml:space="preserve"> </w:t>
      </w:r>
      <w:r>
        <w:t xml:space="preserve">	</w:t>
      </w:r>
      <w:r>
        <w:t xml:space="preserve">R. Luša, D. Pintar, and M. Vranić,</w:t>
      </w:r>
      <w:r>
        <w:t xml:space="preserve"> </w:t>
      </w:r>
      <w:r>
        <w:t xml:space="preserve">“TE-g-SAGE: Explainable edge-aware graph neural networks for network intrusion detection,”</w:t>
      </w:r>
      <w:r>
        <w:t xml:space="preserve"> </w:t>
      </w:r>
      <w:r>
        <w:rPr>
          <w:i/>
          <w:iCs/>
        </w:rPr>
        <w:t xml:space="preserve">Modelling</w:t>
      </w:r>
      <w:r>
        <w:t xml:space="preserve">, Dec. 2025, doi:</w:t>
      </w:r>
      <w:r>
        <w:t xml:space="preserve"> </w:t>
      </w:r>
      <w:hyperlink r:id="rId62">
        <w:r>
          <w:rPr>
            <w:rStyle w:val="Hyperlink"/>
          </w:rPr>
          <w:t xml:space="preserve">10.3390/modelling6040165</w:t>
        </w:r>
      </w:hyperlink>
      <w:r>
        <w:t xml:space="preserve">.</w:t>
      </w:r>
    </w:p>
    <w:p>
      <w:pPr>
        <w:pStyle w:val="BodyText"/>
      </w:pPr>
      <w:r>
        <w:t xml:space="preserve">[37]</w:t>
      </w:r>
      <w:r>
        <w:t xml:space="preserve"> </w:t>
      </w:r>
      <w:r>
        <w:t xml:space="preserve">	</w:t>
      </w:r>
      <w:r>
        <w:t xml:space="preserve">D. Li, Y. Niu, Y. Ai, X. Zou, B. Qi, and J. Liu,</w:t>
      </w:r>
      <w:r>
        <w:t xml:space="preserve"> </w:t>
      </w:r>
      <w:r>
        <w:t xml:space="preserve">“T-GRAG: A dynamic GraphRAG framework for resolving temporal conflicts and redundancy in knowledge retrieval,”</w:t>
      </w:r>
      <w:r>
        <w:t xml:space="preserve"> </w:t>
      </w:r>
      <w:r>
        <w:rPr>
          <w:i/>
          <w:iCs/>
        </w:rPr>
        <w:t xml:space="preserve">ACM Multimedia</w:t>
      </w:r>
      <w:r>
        <w:t xml:space="preserve">, Aug. 2025, doi:</w:t>
      </w:r>
      <w:r>
        <w:t xml:space="preserve"> </w:t>
      </w:r>
      <w:hyperlink r:id="rId63">
        <w:r>
          <w:rPr>
            <w:rStyle w:val="Hyperlink"/>
          </w:rPr>
          <w:t xml:space="preserve">10.1145/3746027.3755628</w:t>
        </w:r>
      </w:hyperlink>
      <w:r>
        <w:t xml:space="preserve">.</w:t>
      </w:r>
    </w:p>
    <w:p>
      <w:pPr>
        <w:pStyle w:val="BodyText"/>
      </w:pPr>
      <w:r>
        <w:t xml:space="preserve">[38]</w:t>
      </w:r>
      <w:r>
        <w:t xml:space="preserve"> </w:t>
      </w:r>
      <w:r>
        <w:t xml:space="preserve">	</w:t>
      </w:r>
      <w:r>
        <w:t xml:space="preserve">J. Han</w:t>
      </w:r>
      <w:r>
        <w:t xml:space="preserve"> </w:t>
      </w:r>
      <w:r>
        <w:rPr>
          <w:i/>
          <w:iCs/>
        </w:rPr>
        <w:t xml:space="preserve">et al.</w:t>
      </w:r>
      <w:r>
        <w:t xml:space="preserve">,</w:t>
      </w:r>
      <w:r>
        <w:t xml:space="preserve"> </w:t>
      </w:r>
      <w:r>
        <w:t xml:space="preserve">“RAG meets temporal graphs: Time-sensitive modeling and retrieval for evolving knowledge,”</w:t>
      </w:r>
      <w:r>
        <w:t xml:space="preserve"> </w:t>
      </w:r>
      <w:r>
        <w:rPr>
          <w:i/>
          <w:iCs/>
        </w:rPr>
        <w:t xml:space="preserve">arXiv.org</w:t>
      </w:r>
      <w:r>
        <w:t xml:space="preserve">, Oct. 2025, doi:</w:t>
      </w:r>
      <w:r>
        <w:t xml:space="preserve"> </w:t>
      </w:r>
      <w:hyperlink r:id="rId64">
        <w:r>
          <w:rPr>
            <w:rStyle w:val="Hyperlink"/>
          </w:rPr>
          <w:t xml:space="preserve">10.48550/arXiv.2510.13590</w:t>
        </w:r>
      </w:hyperlink>
      <w:r>
        <w:t xml:space="preserve">.</w:t>
      </w:r>
    </w:p>
    <w:p>
      <w:pPr>
        <w:pStyle w:val="BodyText"/>
      </w:pPr>
      <w:r>
        <w:t xml:space="preserve">[39]</w:t>
      </w:r>
      <w:r>
        <w:t xml:space="preserve"> </w:t>
      </w:r>
      <w:r>
        <w:t xml:space="preserve">	</w:t>
      </w:r>
      <w:r>
        <w:t xml:space="preserve">S. Li</w:t>
      </w:r>
      <w:r>
        <w:t xml:space="preserve"> </w:t>
      </w:r>
      <w:r>
        <w:rPr>
          <w:i/>
          <w:iCs/>
        </w:rPr>
        <w:t xml:space="preserve">et al.</w:t>
      </w:r>
      <w:r>
        <w:t xml:space="preserve">,</w:t>
      </w:r>
      <w:r>
        <w:t xml:space="preserve"> </w:t>
      </w:r>
      <w:r>
        <w:t xml:space="preserve">“Detecting hallucinations in graph retrieval-augmented generation via attention patterns and semantic alignment,”</w:t>
      </w:r>
      <w:r>
        <w:t xml:space="preserve"> </w:t>
      </w:r>
      <w:r>
        <w:rPr>
          <w:i/>
          <w:iCs/>
        </w:rPr>
        <w:t xml:space="preserve">arXiv.org</w:t>
      </w:r>
      <w:r>
        <w:t xml:space="preserve">, Dec. 2025, doi:</w:t>
      </w:r>
      <w:r>
        <w:t xml:space="preserve"> </w:t>
      </w:r>
      <w:hyperlink r:id="rId65">
        <w:r>
          <w:rPr>
            <w:rStyle w:val="Hyperlink"/>
          </w:rPr>
          <w:t xml:space="preserve">10.48550/arXiv.2512.09148</w:t>
        </w:r>
      </w:hyperlink>
      <w:r>
        <w:t xml:space="preserve">.</w:t>
      </w:r>
    </w:p>
    <w:p>
      <w:pPr>
        <w:pStyle w:val="BodyText"/>
      </w:pPr>
      <w:r>
        <w:t xml:space="preserve">[40]</w:t>
      </w:r>
      <w:r>
        <w:t xml:space="preserve"> </w:t>
      </w:r>
      <w:r>
        <w:t xml:space="preserve">	</w:t>
      </w:r>
      <w:r>
        <w:t xml:space="preserve">C. Park, H. Lee, S. Lee, and O. Jeong,</w:t>
      </w:r>
      <w:r>
        <w:t xml:space="preserve"> </w:t>
      </w:r>
      <w:r>
        <w:t xml:space="preserve">“Synergistic joint model of knowledge graph and LLM for enhancing XAI-based clinical decision support systems,”</w:t>
      </w:r>
      <w:r>
        <w:t xml:space="preserve"> </w:t>
      </w:r>
      <w:r>
        <w:rPr>
          <w:i/>
          <w:iCs/>
        </w:rPr>
        <w:t xml:space="preserve">Mathematics</w:t>
      </w:r>
      <w:r>
        <w:t xml:space="preserve">, Mar. 2025, doi:</w:t>
      </w:r>
      <w:r>
        <w:t xml:space="preserve"> </w:t>
      </w:r>
      <w:hyperlink r:id="rId66">
        <w:r>
          <w:rPr>
            <w:rStyle w:val="Hyperlink"/>
          </w:rPr>
          <w:t xml:space="preserve">10.3390/math13060949</w:t>
        </w:r>
      </w:hyperlink>
      <w:r>
        <w:t xml:space="preserve">.</w:t>
      </w:r>
    </w:p>
    <w:p>
      <w:pPr>
        <w:pStyle w:val="BodyText"/>
      </w:pPr>
      <w:r>
        <w:t xml:space="preserve">[41]</w:t>
      </w:r>
      <w:r>
        <w:t xml:space="preserve"> </w:t>
      </w:r>
      <w:r>
        <w:t xml:space="preserve">	</w:t>
      </w:r>
      <w:r>
        <w:t xml:space="preserve">A. P. Sheth, V. Khandelwal, K. Roy, V. Pallagani, M. Chakraborty, and A. P. Sheth,</w:t>
      </w:r>
      <w:r>
        <w:t xml:space="preserve"> </w:t>
      </w:r>
      <w:r>
        <w:t xml:space="preserve">“NeuroSymbolic knowledge-grounded planning and reasoning in artificial intelligence systems,”</w:t>
      </w:r>
      <w:r>
        <w:t xml:space="preserve"> </w:t>
      </w:r>
      <w:r>
        <w:rPr>
          <w:i/>
          <w:iCs/>
        </w:rPr>
        <w:t xml:space="preserve">IEEE Intelligent Systems</w:t>
      </w:r>
      <w:r>
        <w:t xml:space="preserve">, Mar. 2025, doi:</w:t>
      </w:r>
      <w:r>
        <w:t xml:space="preserve"> </w:t>
      </w:r>
      <w:hyperlink r:id="rId67">
        <w:r>
          <w:rPr>
            <w:rStyle w:val="Hyperlink"/>
          </w:rPr>
          <w:t xml:space="preserve">10.1109/MIS.2025.3544943</w:t>
        </w:r>
      </w:hyperlink>
      <w:r>
        <w:t xml:space="preserve">.</w:t>
      </w:r>
    </w:p>
    <w:p>
      <w:pPr>
        <w:pStyle w:val="BodyText"/>
      </w:pPr>
      <w:r>
        <w:t xml:space="preserve">[42]</w:t>
      </w:r>
      <w:r>
        <w:t xml:space="preserve"> </w:t>
      </w:r>
      <w:r>
        <w:t xml:space="preserve">	</w:t>
      </w:r>
      <w:r>
        <w:t xml:space="preserve">Q. Guo</w:t>
      </w:r>
      <w:r>
        <w:t xml:space="preserve"> </w:t>
      </w:r>
      <w:r>
        <w:rPr>
          <w:i/>
          <w:iCs/>
        </w:rPr>
        <w:t xml:space="preserve">et al.</w:t>
      </w:r>
      <w:r>
        <w:t xml:space="preserve">,</w:t>
      </w:r>
      <w:r>
        <w:t xml:space="preserve"> </w:t>
      </w:r>
      <w:r>
        <w:t xml:space="preserve">“KG-anchored RAG: Retrieval-augmented generation for power system professional documents integrating topic modeling and knowledge graphs,”</w:t>
      </w:r>
      <w:r>
        <w:t xml:space="preserve"> </w:t>
      </w:r>
      <w:r>
        <w:rPr>
          <w:i/>
          <w:iCs/>
        </w:rPr>
        <w:t xml:space="preserve">Electronics</w:t>
      </w:r>
      <w:r>
        <w:t xml:space="preserve">, May 2026, doi:</w:t>
      </w:r>
      <w:r>
        <w:t xml:space="preserve"> </w:t>
      </w:r>
      <w:hyperlink r:id="rId68">
        <w:r>
          <w:rPr>
            <w:rStyle w:val="Hyperlink"/>
          </w:rPr>
          <w:t xml:space="preserve">10.3390/electronics15112362</w:t>
        </w:r>
      </w:hyperlink>
      <w:r>
        <w:t xml:space="preserve">.</w:t>
      </w:r>
    </w:p>
    <w:p>
      <w:pPr>
        <w:pStyle w:val="BodyText"/>
      </w:pPr>
      <w:r>
        <w:t xml:space="preserve">[43]</w:t>
      </w:r>
      <w:r>
        <w:t xml:space="preserve"> </w:t>
      </w:r>
      <w:r>
        <w:t xml:space="preserve">	</w:t>
      </w:r>
      <w:r>
        <w:t xml:space="preserve">S. Huang and J. Cheng,</w:t>
      </w:r>
      <w:r>
        <w:t xml:space="preserve"> </w:t>
      </w:r>
      <w:r>
        <w:t xml:space="preserve">“StructReason: A multi-hop retrieval-augmented generation framework via iterative reasoning chains and PCST structural refinement,”</w:t>
      </w:r>
      <w:r>
        <w:t xml:space="preserve"> </w:t>
      </w:r>
      <w:r>
        <w:rPr>
          <w:i/>
          <w:iCs/>
        </w:rPr>
        <w:t xml:space="preserve">2025 5th International Conference on Communication Technology and Information Technology (ICCTIT)</w:t>
      </w:r>
      <w:r>
        <w:t xml:space="preserve">, Dec. 2025, doi:</w:t>
      </w:r>
      <w:r>
        <w:t xml:space="preserve"> </w:t>
      </w:r>
      <w:hyperlink r:id="rId69">
        <w:r>
          <w:rPr>
            <w:rStyle w:val="Hyperlink"/>
          </w:rPr>
          <w:t xml:space="preserve">10.1109/ICCTIT68197.2025.11406504</w:t>
        </w:r>
      </w:hyperlink>
      <w:r>
        <w:t xml:space="preserve">.</w:t>
      </w:r>
    </w:p>
    <w:p>
      <w:pPr>
        <w:pStyle w:val="BodyText"/>
      </w:pPr>
      <w:r>
        <w:t xml:space="preserve">[44]</w:t>
      </w:r>
      <w:r>
        <w:t xml:space="preserve"> </w:t>
      </w:r>
      <w:r>
        <w:t xml:space="preserve">	</w:t>
      </w:r>
      <w:r>
        <w:t xml:space="preserve">Z. Xiang</w:t>
      </w:r>
      <w:r>
        <w:t xml:space="preserve"> </w:t>
      </w:r>
      <w:r>
        <w:rPr>
          <w:i/>
          <w:iCs/>
        </w:rPr>
        <w:t xml:space="preserve">et al.</w:t>
      </w:r>
      <w:r>
        <w:t xml:space="preserve">,</w:t>
      </w:r>
      <w:r>
        <w:t xml:space="preserve"> </w:t>
      </w:r>
      <w:r>
        <w:t xml:space="preserve">“When to use graphs in RAG: A comprehensive analysis for graph retrieval-augmented generation,”</w:t>
      </w:r>
      <w:r>
        <w:t xml:space="preserve"> </w:t>
      </w:r>
      <w:r>
        <w:rPr>
          <w:i/>
          <w:iCs/>
        </w:rPr>
        <w:t xml:space="preserve">arXiv.org</w:t>
      </w:r>
      <w:r>
        <w:t xml:space="preserve">, June 2025, doi:</w:t>
      </w:r>
      <w:r>
        <w:t xml:space="preserve"> </w:t>
      </w:r>
      <w:hyperlink r:id="rId70">
        <w:r>
          <w:rPr>
            <w:rStyle w:val="Hyperlink"/>
          </w:rPr>
          <w:t xml:space="preserve">10.48550/arXiv.2506.05690</w:t>
        </w:r>
      </w:hyperlink>
      <w:r>
        <w:t xml:space="preserve">.</w:t>
      </w:r>
    </w:p>
    <w:p>
      <w:pPr>
        <w:pStyle w:val="BodyText"/>
      </w:pPr>
      <w:r>
        <w:t xml:space="preserve">[45]</w:t>
      </w:r>
      <w:r>
        <w:t xml:space="preserve"> </w:t>
      </w:r>
      <w:r>
        <w:t xml:space="preserve">	</w:t>
      </w:r>
      <w:r>
        <w:t xml:space="preserve">A. Houimli, Z. Gabsi, and S. Skhiri,</w:t>
      </w:r>
      <w:r>
        <w:t xml:space="preserve"> </w:t>
      </w:r>
      <w:r>
        <w:t xml:space="preserve">“Evaluation of GraphRAG strategies for efficient information retrieval,”</w:t>
      </w:r>
      <w:r>
        <w:t xml:space="preserve"> </w:t>
      </w:r>
      <w:r>
        <w:rPr>
          <w:i/>
          <w:iCs/>
        </w:rPr>
        <w:t xml:space="preserve">BigData Congress [Services Society]</w:t>
      </w:r>
      <w:r>
        <w:t xml:space="preserve">, Dec. 2025, doi:</w:t>
      </w:r>
      <w:r>
        <w:t xml:space="preserve"> </w:t>
      </w:r>
      <w:hyperlink r:id="rId71">
        <w:r>
          <w:rPr>
            <w:rStyle w:val="Hyperlink"/>
          </w:rPr>
          <w:t xml:space="preserve">10.1109/BigData66926.2025.11400992</w:t>
        </w:r>
      </w:hyperlink>
      <w:r>
        <w:t xml:space="preserve">.</w:t>
      </w:r>
    </w:p>
    <w:sectPr>
      <w:footnotePr>
        <w:numRestart w:val="eachSect"/>
      </w:footnotePr>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w="http://schemas.openxmlformats.org/wordprocessingml/2006/main">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proofState w:grammar="clean" w:spelling="clean"/>
  <w:stylePaneFormatFilter w:val="0004"/>
  <w:doNotTrackMoves/>
  <w:defaultTabStop w:val="720"/>
  <w:drawingGridHorizontalSpacing w:val="360"/>
  <w:drawingGridVerticalSpacing w:val="360"/>
  <w:displayHorizontalDrawingGridEvery w:val="0"/>
  <w:displayVerticalDrawingGridEvery w:val="0"/>
  <w:characterSpacingControl w:val="doNotCompress"/>
  <w:savePreviewPicture/>
  <w:rsids>
  </w:rsids>
  <w:themeFontLang w:val="en-US"/>
  <w:clrSchemeMapping w:accent1="accent1" w:accent2="accent2" w:accent3="accent3" w:accent4="accent4" w:accent5="accent5" w:accent6="accent6" w:bg1="light1" w:bg2="light2" w:followedHyperlink="followedHyperlink" w:hyperlink="hyperlink" w:t1="dark1" w:t2="dark2"/>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EastAsia" w:hAnsiTheme="minorHAnsi"/>
        <w:sz w:val="24"/>
        <w:szCs w:val="24"/>
        <w:lang w:bidi="ar-SA" w:eastAsia="zh-CN" w:val="en-US"/>
      </w:rPr>
    </w:rPrDefault>
    <w:pPrDefault>
      <w:pPr>
        <w:spacing w:after="200"/>
      </w:pPr>
    </w:pPrDefault>
  </w:docDefaults>
  <w:latentStyles w:count="276" w:defLockedState="0" w:defQFormat="0" w:defSemiHidden="0" w:defUIPriority="0" w:defUnhideWhenUsed="0"/>
  <w:style w:default="1" w:styleId="Normal" w:type="paragraph">
    <w:name w:val="Normal"/>
    <w:qFormat/>
  </w:style>
  <w:style w:styleId="BodyText" w:type="paragraph">
    <w:name w:val="Body Text"/>
    <w:basedOn w:val="Normal"/>
    <w:link w:val="BodyTextChar"/>
    <w:qFormat/>
    <w:pPr>
      <w:spacing w:after="180" w:before="180"/>
    </w:pPr>
  </w:style>
  <w:style w:customStyle="1" w:styleId="FirstParagraph" w:type="paragraph">
    <w:name w:val="First Paragraph"/>
    <w:basedOn w:val="BodyText"/>
    <w:next w:val="BodyText"/>
    <w:qFormat/>
  </w:style>
  <w:style w:customStyle="1" w:styleId="Compact" w:type="paragraph">
    <w:name w:val="Compact"/>
    <w:basedOn w:val="BodyText"/>
    <w:qFormat/>
    <w:pPr>
      <w:spacing w:after="36" w:before="36"/>
    </w:pPr>
  </w:style>
  <w:style w:styleId="Title" w:type="paragraph">
    <w:name w:val="Title"/>
    <w:basedOn w:val="Normal"/>
    <w:next w:val="BodyText"/>
    <w:link w:val="TitleChar"/>
    <w:uiPriority w:val="10"/>
    <w:qFormat/>
    <w:rsid w:val="00A10FD9"/>
    <w:pPr>
      <w:spacing w:after="80" w:line="240" w:lineRule="auto"/>
      <w:contextualSpacing/>
      <w:jc w:val="center"/>
    </w:pPr>
    <w:rPr>
      <w:rFonts w:asciiTheme="majorHAnsi" w:cstheme="majorBidi" w:eastAsiaTheme="majorEastAsia" w:hAnsiTheme="majorHAnsi"/>
      <w:sz w:val="56"/>
      <w:szCs w:val="56"/>
    </w:rPr>
  </w:style>
  <w:style w:customStyle="1" w:styleId="TitleChar" w:type="character">
    <w:name w:val="Title Char"/>
    <w:basedOn w:val="DefaultParagraphFont"/>
    <w:link w:val="Title"/>
    <w:uiPriority w:val="10"/>
    <w:rsid w:val="00A10FD9"/>
    <w:rPr>
      <w:rFonts w:asciiTheme="majorHAnsi" w:cstheme="majorBidi" w:eastAsiaTheme="majorEastAsia" w:hAnsiTheme="majorHAnsi"/>
      <w:sz w:val="56"/>
      <w:szCs w:val="56"/>
    </w:rPr>
  </w:style>
  <w:style w:styleId="Subtitle" w:type="paragraph">
    <w:name w:val="Subtitle"/>
    <w:basedOn w:val="Title"/>
    <w:next w:val="BodyText"/>
    <w:link w:val="SubtitleChar"/>
    <w:uiPriority w:val="11"/>
    <w:qFormat/>
    <w:rsid w:val="00A10FD9"/>
    <w:pPr>
      <w:numPr>
        <w:ilvl w:val="1"/>
      </w:numPr>
    </w:pPr>
    <w:rPr>
      <w:rFonts w:cstheme="majorBidi" w:eastAsiaTheme="majorEastAsia"/>
      <w:spacing w:val="15"/>
      <w:sz w:val="28"/>
      <w:szCs w:val="28"/>
    </w:rPr>
  </w:style>
  <w:style w:customStyle="1" w:styleId="SubtitleChar" w:type="character">
    <w:name w:val="Subtitle Char"/>
    <w:basedOn w:val="DefaultParagraphFont"/>
    <w:link w:val="Subtitle"/>
    <w:uiPriority w:val="11"/>
    <w:rsid w:val="00A10FD9"/>
    <w:rPr>
      <w:rFonts w:cstheme="majorBidi" w:eastAsiaTheme="majorEastAsia"/>
      <w:color w:themeColor="text1" w:themeTint="A6" w:val="595959"/>
      <w:spacing w:val="15"/>
      <w:sz w:val="28"/>
      <w:szCs w:val="28"/>
    </w:rPr>
  </w:style>
  <w:style w:customStyle="1" w:styleId="Author" w:type="paragraph">
    <w:name w:val="Author"/>
    <w:basedOn w:val="Title"/>
    <w:next w:val="BodyText"/>
    <w:qFormat/>
    <w:pPr>
      <w:keepNext/>
      <w:keepLines/>
    </w:pPr>
    <w:rPr>
      <w:sz w:val="24"/>
      <w:szCs w:val="24"/>
    </w:rPr>
  </w:style>
  <w:style w:styleId="Date" w:type="paragraph">
    <w:name w:val="Date"/>
    <w:basedOn w:val="Title"/>
    <w:next w:val="BodyText"/>
    <w:qFormat/>
    <w:pPr>
      <w:keepNext/>
      <w:keepLines/>
    </w:pPr>
    <w:rPr>
      <w:sz w:val="24"/>
      <w:szCs w:val="24"/>
    </w:rPr>
  </w:style>
  <w:style w:customStyle="1" w:styleId="AbstractTitle" w:type="paragraph">
    <w:name w:val="Abstract Title"/>
    <w:basedOn w:val="Normal"/>
    <w:next w:val="Abstract"/>
    <w:qFormat/>
    <w:pPr>
      <w:keepNext/>
      <w:keepLines/>
      <w:spacing w:after="0" w:before="300"/>
      <w:jc w:val="center"/>
    </w:pPr>
    <w:rPr>
      <w:b/>
      <w:sz w:val="20"/>
      <w:szCs w:val="20"/>
    </w:rPr>
  </w:style>
  <w:style w:customStyle="1" w:styleId="Abstract" w:type="paragraph">
    <w:name w:val="Abstract"/>
    <w:basedOn w:val="Normal"/>
    <w:next w:val="BodyText"/>
    <w:qFormat/>
    <w:pPr>
      <w:keepNext/>
      <w:keepLines/>
      <w:spacing w:after="300" w:before="1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link w:val="Heading1Char"/>
    <w:uiPriority w:val="9"/>
    <w:qFormat/>
    <w:rsid w:val="00A10FD9"/>
    <w:pPr>
      <w:keepNext/>
      <w:keepLines/>
      <w:spacing w:after="80" w:before="360"/>
      <w:outlineLvl w:val="0"/>
    </w:pPr>
    <w:rPr>
      <w:rFonts w:asciiTheme="majorHAnsi" w:cstheme="majorBidi" w:eastAsiaTheme="majorEastAsia" w:hAnsiTheme="majorHAnsi"/>
      <w:color w:themeColor="accent1" w:themeShade="BF" w:val="0F4761"/>
      <w:sz w:val="40"/>
      <w:szCs w:val="40"/>
    </w:rPr>
  </w:style>
  <w:style w:styleId="Heading2" w:type="paragraph">
    <w:name w:val="heading 2"/>
    <w:basedOn w:val="Normal"/>
    <w:next w:val="BodyText"/>
    <w:link w:val="Heading2Char"/>
    <w:uiPriority w:val="9"/>
    <w:semiHidden/>
    <w:unhideWhenUsed/>
    <w:qFormat/>
    <w:rsid w:val="00A10FD9"/>
    <w:pPr>
      <w:keepNext/>
      <w:keepLines/>
      <w:spacing w:after="80" w:before="160"/>
      <w:outlineLvl w:val="1"/>
    </w:pPr>
    <w:rPr>
      <w:rFonts w:asciiTheme="majorHAnsi" w:cstheme="majorBidi" w:eastAsiaTheme="majorEastAsia" w:hAnsiTheme="majorHAnsi"/>
      <w:color w:themeColor="accent1" w:themeShade="BF" w:val="0F4761"/>
      <w:sz w:val="32"/>
      <w:szCs w:val="32"/>
    </w:rPr>
  </w:style>
  <w:style w:styleId="Heading3" w:type="paragraph">
    <w:name w:val="heading 3"/>
    <w:basedOn w:val="Normal"/>
    <w:next w:val="BodyText"/>
    <w:link w:val="Heading3Char"/>
    <w:uiPriority w:val="9"/>
    <w:semiHidden/>
    <w:unhideWhenUsed/>
    <w:qFormat/>
    <w:rsid w:val="00A10FD9"/>
    <w:pPr>
      <w:keepNext/>
      <w:keepLines/>
      <w:spacing w:after="80" w:before="160"/>
      <w:outlineLvl w:val="2"/>
    </w:pPr>
    <w:rPr>
      <w:rFonts w:cstheme="majorBidi" w:eastAsiaTheme="majorEastAsia"/>
      <w:color w:themeColor="accent1" w:themeShade="BF" w:val="0F4761"/>
      <w:sz w:val="28"/>
      <w:szCs w:val="28"/>
    </w:rPr>
  </w:style>
  <w:style w:styleId="Heading4" w:type="paragraph">
    <w:name w:val="heading 4"/>
    <w:basedOn w:val="Normal"/>
    <w:next w:val="BodyText"/>
    <w:link w:val="Heading4Char"/>
    <w:uiPriority w:val="9"/>
    <w:semiHidden/>
    <w:unhideWhenUsed/>
    <w:qFormat/>
    <w:rsid w:val="00A10FD9"/>
    <w:pPr>
      <w:keepNext/>
      <w:keepLines/>
      <w:spacing w:after="40" w:before="80"/>
      <w:outlineLvl w:val="3"/>
    </w:pPr>
    <w:rPr>
      <w:rFonts w:cstheme="majorBidi" w:eastAsiaTheme="majorEastAsia"/>
      <w:i/>
      <w:iCs/>
      <w:color w:themeColor="accent1" w:themeShade="BF" w:val="0F4761"/>
    </w:rPr>
  </w:style>
  <w:style w:styleId="Heading5" w:type="paragraph">
    <w:name w:val="heading 5"/>
    <w:basedOn w:val="Normal"/>
    <w:next w:val="BodyText"/>
    <w:link w:val="Heading5Char"/>
    <w:uiPriority w:val="9"/>
    <w:semiHidden/>
    <w:unhideWhenUsed/>
    <w:qFormat/>
    <w:rsid w:val="00A10FD9"/>
    <w:pPr>
      <w:keepNext/>
      <w:keepLines/>
      <w:spacing w:after="40" w:before="80"/>
      <w:outlineLvl w:val="4"/>
    </w:pPr>
    <w:rPr>
      <w:rFonts w:cstheme="majorBidi" w:eastAsiaTheme="majorEastAsia"/>
      <w:color w:themeColor="accent1" w:themeShade="BF" w:val="0F4761"/>
    </w:rPr>
  </w:style>
  <w:style w:styleId="Heading6" w:type="paragraph">
    <w:name w:val="heading 6"/>
    <w:basedOn w:val="Normal"/>
    <w:next w:val="BodyText"/>
    <w:link w:val="Heading6Char"/>
    <w:uiPriority w:val="9"/>
    <w:semiHidden/>
    <w:unhideWhenUsed/>
    <w:qFormat/>
    <w:rsid w:val="00A10FD9"/>
    <w:pPr>
      <w:keepNext/>
      <w:keepLines/>
      <w:spacing w:after="0" w:before="40"/>
      <w:outlineLvl w:val="5"/>
    </w:pPr>
    <w:rPr>
      <w:rFonts w:cstheme="majorBidi" w:eastAsiaTheme="majorEastAsia"/>
      <w:i/>
      <w:iCs/>
      <w:color w:themeColor="text1" w:themeTint="A6" w:val="595959"/>
    </w:rPr>
  </w:style>
  <w:style w:styleId="Heading7" w:type="paragraph">
    <w:name w:val="heading 7"/>
    <w:basedOn w:val="Normal"/>
    <w:next w:val="BodyText"/>
    <w:link w:val="Heading7Char"/>
    <w:uiPriority w:val="9"/>
    <w:semiHidden/>
    <w:unhideWhenUsed/>
    <w:qFormat/>
    <w:rsid w:val="00A10FD9"/>
    <w:pPr>
      <w:keepNext/>
      <w:keepLines/>
      <w:spacing w:after="0" w:before="40"/>
      <w:outlineLvl w:val="6"/>
    </w:pPr>
    <w:rPr>
      <w:rFonts w:cstheme="majorBidi" w:eastAsiaTheme="majorEastAsia"/>
      <w:color w:themeColor="text1" w:themeTint="A6" w:val="595959"/>
    </w:rPr>
  </w:style>
  <w:style w:styleId="Heading8" w:type="paragraph">
    <w:name w:val="heading 8"/>
    <w:basedOn w:val="Normal"/>
    <w:next w:val="BodyText"/>
    <w:link w:val="Heading8Char"/>
    <w:uiPriority w:val="9"/>
    <w:semiHidden/>
    <w:unhideWhenUsed/>
    <w:qFormat/>
    <w:rsid w:val="00A10FD9"/>
    <w:pPr>
      <w:keepNext/>
      <w:keepLines/>
      <w:spacing w:after="0"/>
      <w:outlineLvl w:val="7"/>
    </w:pPr>
    <w:rPr>
      <w:rFonts w:cstheme="majorBidi" w:eastAsiaTheme="majorEastAsia"/>
      <w:i/>
      <w:iCs/>
      <w:color w:themeColor="text1" w:themeTint="D8" w:val="272727"/>
    </w:rPr>
  </w:style>
  <w:style w:styleId="Heading9" w:type="paragraph">
    <w:name w:val="heading 9"/>
    <w:basedOn w:val="Normal"/>
    <w:next w:val="BodyText"/>
    <w:link w:val="Heading9Char"/>
    <w:uiPriority w:val="9"/>
    <w:semiHidden/>
    <w:unhideWhenUsed/>
    <w:qFormat/>
    <w:rsid w:val="00A10FD9"/>
    <w:pPr>
      <w:keepNext/>
      <w:keepLines/>
      <w:spacing w:after="0"/>
      <w:outlineLvl w:val="8"/>
    </w:pPr>
    <w:rPr>
      <w:rFonts w:cstheme="majorBidi" w:eastAsiaTheme="majorEastAsia"/>
      <w:color w:themeColor="text1" w:themeTint="D8" w:val="272727"/>
    </w:rPr>
  </w:style>
  <w:style w:customStyle="1" w:styleId="Heading1Char" w:type="character">
    <w:name w:val="Heading 1 Char"/>
    <w:basedOn w:val="DefaultParagraphFont"/>
    <w:link w:val="Heading1"/>
    <w:uiPriority w:val="9"/>
    <w:rsid w:val="00A10FD9"/>
    <w:rPr>
      <w:rFonts w:asciiTheme="majorHAnsi" w:cstheme="majorBidi" w:eastAsiaTheme="majorEastAsia" w:hAnsiTheme="majorHAnsi"/>
      <w:color w:themeColor="accent1" w:themeShade="BF" w:val="0F4761"/>
      <w:sz w:val="40"/>
      <w:szCs w:val="40"/>
    </w:rPr>
  </w:style>
  <w:style w:customStyle="1" w:styleId="Heading2Char" w:type="character">
    <w:name w:val="Heading 2 Char"/>
    <w:basedOn w:val="DefaultParagraphFont"/>
    <w:link w:val="Heading2"/>
    <w:uiPriority w:val="9"/>
    <w:semiHidden/>
    <w:rsid w:val="00A10FD9"/>
    <w:rPr>
      <w:rFonts w:asciiTheme="majorHAnsi" w:cstheme="majorBidi" w:eastAsiaTheme="majorEastAsia" w:hAnsiTheme="majorHAnsi"/>
      <w:color w:themeColor="accent1" w:themeShade="BF" w:val="0F4761"/>
      <w:sz w:val="32"/>
      <w:szCs w:val="32"/>
    </w:rPr>
  </w:style>
  <w:style w:customStyle="1" w:styleId="Heading3Char" w:type="character">
    <w:name w:val="Heading 3 Char"/>
    <w:basedOn w:val="DefaultParagraphFont"/>
    <w:link w:val="Heading3"/>
    <w:uiPriority w:val="9"/>
    <w:semiHidden/>
    <w:rsid w:val="00A10FD9"/>
    <w:rPr>
      <w:rFonts w:cstheme="majorBidi" w:eastAsiaTheme="majorEastAsia"/>
      <w:color w:themeColor="accent1" w:themeShade="BF" w:val="0F4761"/>
      <w:sz w:val="28"/>
      <w:szCs w:val="28"/>
    </w:rPr>
  </w:style>
  <w:style w:customStyle="1" w:styleId="Heading4Char" w:type="character">
    <w:name w:val="Heading 4 Char"/>
    <w:basedOn w:val="DefaultParagraphFont"/>
    <w:link w:val="Heading4"/>
    <w:uiPriority w:val="9"/>
    <w:semiHidden/>
    <w:rsid w:val="00A10FD9"/>
    <w:rPr>
      <w:rFonts w:cstheme="majorBidi" w:eastAsiaTheme="majorEastAsia"/>
      <w:i/>
      <w:iCs/>
      <w:color w:themeColor="accent1" w:themeShade="BF" w:val="0F4761"/>
    </w:rPr>
  </w:style>
  <w:style w:customStyle="1" w:styleId="Heading5Char" w:type="character">
    <w:name w:val="Heading 5 Char"/>
    <w:basedOn w:val="DefaultParagraphFont"/>
    <w:link w:val="Heading5"/>
    <w:uiPriority w:val="9"/>
    <w:semiHidden/>
    <w:rsid w:val="00A10FD9"/>
    <w:rPr>
      <w:rFonts w:cstheme="majorBidi" w:eastAsiaTheme="majorEastAsia"/>
      <w:color w:themeColor="accent1" w:themeShade="BF" w:val="0F4761"/>
    </w:rPr>
  </w:style>
  <w:style w:customStyle="1" w:styleId="Heading6Char" w:type="character">
    <w:name w:val="Heading 6 Char"/>
    <w:basedOn w:val="DefaultParagraphFont"/>
    <w:link w:val="Heading6"/>
    <w:uiPriority w:val="9"/>
    <w:semiHidden/>
    <w:rsid w:val="00A10FD9"/>
    <w:rPr>
      <w:rFonts w:cstheme="majorBidi" w:eastAsiaTheme="majorEastAsia"/>
      <w:i/>
      <w:iCs/>
      <w:color w:themeColor="text1" w:themeTint="A6" w:val="595959"/>
    </w:rPr>
  </w:style>
  <w:style w:customStyle="1" w:styleId="Heading7Char" w:type="character">
    <w:name w:val="Heading 7 Char"/>
    <w:basedOn w:val="DefaultParagraphFont"/>
    <w:link w:val="Heading7"/>
    <w:uiPriority w:val="9"/>
    <w:semiHidden/>
    <w:rsid w:val="00A10FD9"/>
    <w:rPr>
      <w:rFonts w:cstheme="majorBidi" w:eastAsiaTheme="majorEastAsia"/>
      <w:color w:themeColor="text1" w:themeTint="A6" w:val="595959"/>
    </w:rPr>
  </w:style>
  <w:style w:customStyle="1" w:styleId="Heading8Char" w:type="character">
    <w:name w:val="Heading 8 Char"/>
    <w:basedOn w:val="DefaultParagraphFont"/>
    <w:link w:val="Heading8"/>
    <w:uiPriority w:val="9"/>
    <w:semiHidden/>
    <w:rsid w:val="00A10FD9"/>
    <w:rPr>
      <w:rFonts w:cstheme="majorBidi" w:eastAsiaTheme="majorEastAsia"/>
      <w:i/>
      <w:iCs/>
      <w:color w:themeColor="text1" w:themeTint="D8" w:val="272727"/>
    </w:rPr>
  </w:style>
  <w:style w:customStyle="1" w:styleId="Heading9Char" w:type="character">
    <w:name w:val="Heading 9 Char"/>
    <w:basedOn w:val="DefaultParagraphFont"/>
    <w:link w:val="Heading9"/>
    <w:uiPriority w:val="9"/>
    <w:semiHidden/>
    <w:rsid w:val="00A10FD9"/>
    <w:rPr>
      <w:rFonts w:cstheme="majorBidi" w:eastAsiaTheme="majorEastAsia"/>
      <w:color w:themeColor="text1" w:themeTint="D8" w:val="272727"/>
    </w:rPr>
  </w:style>
  <w:style w:styleId="BlockText" w:type="paragraph">
    <w:name w:val="Block Text"/>
    <w:basedOn w:val="BodyText"/>
    <w:next w:val="BodyText"/>
    <w:uiPriority w:val="9"/>
    <w:unhideWhenUsed/>
    <w:qFormat/>
    <w:pPr>
      <w:spacing w:after="100" w:before="100"/>
      <w:ind w:firstLine="0" w:left="480" w:right="480"/>
    </w:pPr>
  </w:style>
  <w:style w:styleId="FootnoteText" w:type="paragraph">
    <w:name w:val="Footnote Text"/>
    <w:basedOn w:val="Normal"/>
    <w:next w:val="FootnoteText"/>
    <w:uiPriority w:val="9"/>
    <w:unhideWhenUsed/>
    <w:qFormat/>
  </w:style>
  <w:style w:styleId="FootnoteBlockText" w:type="paragraph">
    <w:name w:val="Footnote Block Text"/>
    <w:basedOn w:val="FootnoteText"/>
    <w:next w:val="FootnoteText"/>
    <w:uiPriority w:val="9"/>
    <w:unhideWhenUsed/>
    <w:qFormat/>
    <w:pPr>
      <w:spacing w:after="100" w:before="100"/>
      <w:ind w:firstLine="0" w:left="480" w:right="480"/>
    </w:pPr>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cPr>
        <w:tcBorders>
          <w:bottom w:val="single"/>
        </w:tcBorders>
        <w:vAlign w:val="bottom"/>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type="paragraph" w:customStyle="1" w:styleId="SourceCode">
    <w:name w:val="Source Code"/>
    <w:basedOn w:val="Normal"/>
    <w:link w:val="VerbatimChar"/>
    <w:pPr>
      <w:wordWrap w:val="off"/>
    </w:p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Relationships xmlns="http://schemas.openxmlformats.org/package/2006/relationships"><Relationship Type="http://schemas.openxmlformats.org/officeDocument/2006/relationships/numbering" Id="rId8" Target="numbering.xml" /><Relationship Type="http://schemas.openxmlformats.org/officeDocument/2006/relationships/styles" Id="rId7" Target="styles.xml" /><Relationship Type="http://schemas.openxmlformats.org/officeDocument/2006/relationships/settings" Id="rId6" Target="settings.xml" /><Relationship Type="http://schemas.openxmlformats.org/officeDocument/2006/relationships/webSettings" Id="rId5" Target="webSettings.xml" /><Relationship Type="http://schemas.openxmlformats.org/officeDocument/2006/relationships/fontTable" Id="rId4" Target="fontTable.xml" /><Relationship Type="http://schemas.openxmlformats.org/officeDocument/2006/relationships/theme" Id="rId3" Target="theme/theme1.xml" /><Relationship Type="http://schemas.openxmlformats.org/officeDocument/2006/relationships/footnotes" Id="rId2" Target="footnotes.xml" /><Relationship Type="http://schemas.openxmlformats.org/officeDocument/2006/relationships/comments" Id="rId1" Target="comments.xml" /><Relationship Type="http://schemas.openxmlformats.org/officeDocument/2006/relationships/image" Id="rId18" Target="media/rId18.png" /><Relationship Type="http://schemas.openxmlformats.org/officeDocument/2006/relationships/image" Id="rId21" Target="media/rId21.png" /><Relationship Type="http://schemas.openxmlformats.org/officeDocument/2006/relationships/image" Id="rId9" Target="media/rId9.png" /><Relationship Type="http://schemas.openxmlformats.org/officeDocument/2006/relationships/image" Id="rId15" Target="media/rId15.png" /><Relationship Type="http://schemas.openxmlformats.org/officeDocument/2006/relationships/image" Id="rId24" Target="media/rId24.png" /><Relationship Type="http://schemas.openxmlformats.org/officeDocument/2006/relationships/image" Id="rId12" Target="media/rId12.png" /><Relationship Type="http://schemas.openxmlformats.org/officeDocument/2006/relationships/hyperlink" Id="rId57" Target="https://doi.org/10.1016/j.cmpb.2022.107220" TargetMode="External" /><Relationship Type="http://schemas.openxmlformats.org/officeDocument/2006/relationships/hyperlink" Id="rId36" Target="https://doi.org/10.1016/j.jbi.2023.104503" TargetMode="External" /><Relationship Type="http://schemas.openxmlformats.org/officeDocument/2006/relationships/hyperlink" Id="rId50" Target="https://doi.org/10.1109/ACCESS.2025.3638761" TargetMode="External" /><Relationship Type="http://schemas.openxmlformats.org/officeDocument/2006/relationships/hyperlink" Id="rId58" Target="https://doi.org/10.1109/ACDSA65407.2025.11165954" TargetMode="External" /><Relationship Type="http://schemas.openxmlformats.org/officeDocument/2006/relationships/hyperlink" Id="rId71" Target="https://doi.org/10.1109/BigData66926.2025.11400992" TargetMode="External" /><Relationship Type="http://schemas.openxmlformats.org/officeDocument/2006/relationships/hyperlink" Id="rId51" Target="https://doi.org/10.1109/CAI68641.2026.11536532" TargetMode="External" /><Relationship Type="http://schemas.openxmlformats.org/officeDocument/2006/relationships/hyperlink" Id="rId39" Target="https://doi.org/10.1109/ICCECE69169.2026.11399833" TargetMode="External" /><Relationship Type="http://schemas.openxmlformats.org/officeDocument/2006/relationships/hyperlink" Id="rId69" Target="https://doi.org/10.1109/ICCTIT68197.2025.11406504" TargetMode="External" /><Relationship Type="http://schemas.openxmlformats.org/officeDocument/2006/relationships/hyperlink" Id="rId48" Target="https://doi.org/10.1109/ICIPTM69057.2026.11465331" TargetMode="External" /><Relationship Type="http://schemas.openxmlformats.org/officeDocument/2006/relationships/hyperlink" Id="rId38" Target="https://doi.org/10.1109/ICKG66886.2025.00019" TargetMode="External" /><Relationship Type="http://schemas.openxmlformats.org/officeDocument/2006/relationships/hyperlink" Id="rId54" Target="https://doi.org/10.1109/ICoDSA67155.2025.11157569" TargetMode="External" /><Relationship Type="http://schemas.openxmlformats.org/officeDocument/2006/relationships/hyperlink" Id="rId67" Target="https://doi.org/10.1109/MIS.2025.3544943" TargetMode="External" /><Relationship Type="http://schemas.openxmlformats.org/officeDocument/2006/relationships/hyperlink" Id="rId47" Target="https://doi.org/10.1145/3626772.3657925" TargetMode="External" /><Relationship Type="http://schemas.openxmlformats.org/officeDocument/2006/relationships/hyperlink" Id="rId55" Target="https://doi.org/10.1145/3662739.3672315" TargetMode="External" /><Relationship Type="http://schemas.openxmlformats.org/officeDocument/2006/relationships/hyperlink" Id="rId63" Target="https://doi.org/10.1145/3746027.3755628" TargetMode="External" /><Relationship Type="http://schemas.openxmlformats.org/officeDocument/2006/relationships/hyperlink" Id="rId41" Target="https://doi.org/10.1145/3774904.3792347" TargetMode="External" /><Relationship Type="http://schemas.openxmlformats.org/officeDocument/2006/relationships/hyperlink" Id="rId30" Target="https://doi.org/10.1145/3777378" TargetMode="External" /><Relationship Type="http://schemas.openxmlformats.org/officeDocument/2006/relationships/hyperlink" Id="rId46" Target="https://doi.org/10.15662/ijfist.2025.0806003" TargetMode="External" /><Relationship Type="http://schemas.openxmlformats.org/officeDocument/2006/relationships/hyperlink" Id="rId35" Target="https://doi.org/10.1609/aaai.v28i1.8870" TargetMode="External" /><Relationship Type="http://schemas.openxmlformats.org/officeDocument/2006/relationships/hyperlink" Id="rId42" Target="https://doi.org/10.18653/v1/2022.dlg4nlp-1.8" TargetMode="External" /><Relationship Type="http://schemas.openxmlformats.org/officeDocument/2006/relationships/hyperlink" Id="rId56" Target="https://doi.org/10.2196/54263" TargetMode="External" /><Relationship Type="http://schemas.openxmlformats.org/officeDocument/2006/relationships/hyperlink" Id="rId40" Target="https://doi.org/10.24963/ijcai.2021/425" TargetMode="External" /><Relationship Type="http://schemas.openxmlformats.org/officeDocument/2006/relationships/hyperlink" Id="rId29" Target="https://doi.org/10.26689/jera.v10i1.13913" TargetMode="External" /><Relationship Type="http://schemas.openxmlformats.org/officeDocument/2006/relationships/hyperlink" Id="rId32" Target="https://doi.org/10.3389/frai.2025.1546179" TargetMode="External" /><Relationship Type="http://schemas.openxmlformats.org/officeDocument/2006/relationships/hyperlink" Id="rId60" Target="https://doi.org/10.3390/app15116315" TargetMode="External" /><Relationship Type="http://schemas.openxmlformats.org/officeDocument/2006/relationships/hyperlink" Id="rId45" Target="https://doi.org/10.3390/app15126722" TargetMode="External" /><Relationship Type="http://schemas.openxmlformats.org/officeDocument/2006/relationships/hyperlink" Id="rId49" Target="https://doi.org/10.3390/app16052244" TargetMode="External" /><Relationship Type="http://schemas.openxmlformats.org/officeDocument/2006/relationships/hyperlink" Id="rId68" Target="https://doi.org/10.3390/electronics15112362" TargetMode="External" /><Relationship Type="http://schemas.openxmlformats.org/officeDocument/2006/relationships/hyperlink" Id="rId66" Target="https://doi.org/10.3390/math13060949" TargetMode="External" /><Relationship Type="http://schemas.openxmlformats.org/officeDocument/2006/relationships/hyperlink" Id="rId62" Target="https://doi.org/10.3390/modelling6040165" TargetMode="External" /><Relationship Type="http://schemas.openxmlformats.org/officeDocument/2006/relationships/hyperlink" Id="rId61" Target="https://doi.org/10.3390/s25113352" TargetMode="External" /><Relationship Type="http://schemas.openxmlformats.org/officeDocument/2006/relationships/hyperlink" Id="rId34" Target="https://doi.org/10.48550/arXiv.2403.04782" TargetMode="External" /><Relationship Type="http://schemas.openxmlformats.org/officeDocument/2006/relationships/hyperlink" Id="rId27" Target="https://doi.org/10.48550/arXiv.2501.00309" TargetMode="External" /><Relationship Type="http://schemas.openxmlformats.org/officeDocument/2006/relationships/hyperlink" Id="rId33" Target="https://doi.org/10.48550/arXiv.2504.09823" TargetMode="External" /><Relationship Type="http://schemas.openxmlformats.org/officeDocument/2006/relationships/hyperlink" Id="rId70" Target="https://doi.org/10.48550/arXiv.2506.05690" TargetMode="External" /><Relationship Type="http://schemas.openxmlformats.org/officeDocument/2006/relationships/hyperlink" Id="rId52" Target="https://doi.org/10.48550/arXiv.2507.20804" TargetMode="External" /><Relationship Type="http://schemas.openxmlformats.org/officeDocument/2006/relationships/hyperlink" Id="rId59" Target="https://doi.org/10.48550/arXiv.2508.09893" TargetMode="External" /><Relationship Type="http://schemas.openxmlformats.org/officeDocument/2006/relationships/hyperlink" Id="rId31" Target="https://doi.org/10.48550/arXiv.2508.19855" TargetMode="External" /><Relationship Type="http://schemas.openxmlformats.org/officeDocument/2006/relationships/hyperlink" Id="rId44" Target="https://doi.org/10.48550/arXiv.2509.25530" TargetMode="External" /><Relationship Type="http://schemas.openxmlformats.org/officeDocument/2006/relationships/hyperlink" Id="rId43" Target="https://doi.org/10.48550/arXiv.2510.02827" TargetMode="External" /><Relationship Type="http://schemas.openxmlformats.org/officeDocument/2006/relationships/hyperlink" Id="rId64" Target="https://doi.org/10.48550/arXiv.2510.13590" TargetMode="External" /><Relationship Type="http://schemas.openxmlformats.org/officeDocument/2006/relationships/hyperlink" Id="rId37" Target="https://doi.org/10.48550/arXiv.2511.05991" TargetMode="External" /><Relationship Type="http://schemas.openxmlformats.org/officeDocument/2006/relationships/hyperlink" Id="rId65" Target="https://doi.org/10.48550/arXiv.2512.09148" TargetMode="External" /><Relationship Type="http://schemas.openxmlformats.org/officeDocument/2006/relationships/hyperlink" Id="rId28" Target="https://doi.org/10.48550/arXiv.2602.03578" TargetMode="External" /><Relationship Type="http://schemas.openxmlformats.org/officeDocument/2006/relationships/hyperlink" Id="rId53" Target="https://doi.org/10.63503/j.ijaimd.2025.110" TargetMode="External" /></Relationships>
</file>

<file path=word/_rels/footnotes.xml.rels><?xml version="1.0" encoding="UTF-8"?><Relationships xmlns="http://schemas.openxmlformats.org/package/2006/relationships"><Relationship Type="http://schemas.openxmlformats.org/officeDocument/2006/relationships/hyperlink" Id="rId57" Target="https://doi.org/10.1016/j.cmpb.2022.107220" TargetMode="External" /><Relationship Type="http://schemas.openxmlformats.org/officeDocument/2006/relationships/hyperlink" Id="rId36" Target="https://doi.org/10.1016/j.jbi.2023.104503" TargetMode="External" /><Relationship Type="http://schemas.openxmlformats.org/officeDocument/2006/relationships/hyperlink" Id="rId50" Target="https://doi.org/10.1109/ACCESS.2025.3638761" TargetMode="External" /><Relationship Type="http://schemas.openxmlformats.org/officeDocument/2006/relationships/hyperlink" Id="rId58" Target="https://doi.org/10.1109/ACDSA65407.2025.11165954" TargetMode="External" /><Relationship Type="http://schemas.openxmlformats.org/officeDocument/2006/relationships/hyperlink" Id="rId71" Target="https://doi.org/10.1109/BigData66926.2025.11400992" TargetMode="External" /><Relationship Type="http://schemas.openxmlformats.org/officeDocument/2006/relationships/hyperlink" Id="rId51" Target="https://doi.org/10.1109/CAI68641.2026.11536532" TargetMode="External" /><Relationship Type="http://schemas.openxmlformats.org/officeDocument/2006/relationships/hyperlink" Id="rId39" Target="https://doi.org/10.1109/ICCECE69169.2026.11399833" TargetMode="External" /><Relationship Type="http://schemas.openxmlformats.org/officeDocument/2006/relationships/hyperlink" Id="rId69" Target="https://doi.org/10.1109/ICCTIT68197.2025.11406504" TargetMode="External" /><Relationship Type="http://schemas.openxmlformats.org/officeDocument/2006/relationships/hyperlink" Id="rId48" Target="https://doi.org/10.1109/ICIPTM69057.2026.11465331" TargetMode="External" /><Relationship Type="http://schemas.openxmlformats.org/officeDocument/2006/relationships/hyperlink" Id="rId38" Target="https://doi.org/10.1109/ICKG66886.2025.00019" TargetMode="External" /><Relationship Type="http://schemas.openxmlformats.org/officeDocument/2006/relationships/hyperlink" Id="rId54" Target="https://doi.org/10.1109/ICoDSA67155.2025.11157569" TargetMode="External" /><Relationship Type="http://schemas.openxmlformats.org/officeDocument/2006/relationships/hyperlink" Id="rId67" Target="https://doi.org/10.1109/MIS.2025.3544943" TargetMode="External" /><Relationship Type="http://schemas.openxmlformats.org/officeDocument/2006/relationships/hyperlink" Id="rId47" Target="https://doi.org/10.1145/3626772.3657925" TargetMode="External" /><Relationship Type="http://schemas.openxmlformats.org/officeDocument/2006/relationships/hyperlink" Id="rId55" Target="https://doi.org/10.1145/3662739.3672315" TargetMode="External" /><Relationship Type="http://schemas.openxmlformats.org/officeDocument/2006/relationships/hyperlink" Id="rId63" Target="https://doi.org/10.1145/3746027.3755628" TargetMode="External" /><Relationship Type="http://schemas.openxmlformats.org/officeDocument/2006/relationships/hyperlink" Id="rId41" Target="https://doi.org/10.1145/3774904.3792347" TargetMode="External" /><Relationship Type="http://schemas.openxmlformats.org/officeDocument/2006/relationships/hyperlink" Id="rId30" Target="https://doi.org/10.1145/3777378" TargetMode="External" /><Relationship Type="http://schemas.openxmlformats.org/officeDocument/2006/relationships/hyperlink" Id="rId46" Target="https://doi.org/10.15662/ijfist.2025.0806003" TargetMode="External" /><Relationship Type="http://schemas.openxmlformats.org/officeDocument/2006/relationships/hyperlink" Id="rId35" Target="https://doi.org/10.1609/aaai.v28i1.8870" TargetMode="External" /><Relationship Type="http://schemas.openxmlformats.org/officeDocument/2006/relationships/hyperlink" Id="rId42" Target="https://doi.org/10.18653/v1/2022.dlg4nlp-1.8" TargetMode="External" /><Relationship Type="http://schemas.openxmlformats.org/officeDocument/2006/relationships/hyperlink" Id="rId56" Target="https://doi.org/10.2196/54263" TargetMode="External" /><Relationship Type="http://schemas.openxmlformats.org/officeDocument/2006/relationships/hyperlink" Id="rId40" Target="https://doi.org/10.24963/ijcai.2021/425" TargetMode="External" /><Relationship Type="http://schemas.openxmlformats.org/officeDocument/2006/relationships/hyperlink" Id="rId29" Target="https://doi.org/10.26689/jera.v10i1.13913" TargetMode="External" /><Relationship Type="http://schemas.openxmlformats.org/officeDocument/2006/relationships/hyperlink" Id="rId32" Target="https://doi.org/10.3389/frai.2025.1546179" TargetMode="External" /><Relationship Type="http://schemas.openxmlformats.org/officeDocument/2006/relationships/hyperlink" Id="rId60" Target="https://doi.org/10.3390/app15116315" TargetMode="External" /><Relationship Type="http://schemas.openxmlformats.org/officeDocument/2006/relationships/hyperlink" Id="rId45" Target="https://doi.org/10.3390/app15126722" TargetMode="External" /><Relationship Type="http://schemas.openxmlformats.org/officeDocument/2006/relationships/hyperlink" Id="rId49" Target="https://doi.org/10.3390/app16052244" TargetMode="External" /><Relationship Type="http://schemas.openxmlformats.org/officeDocument/2006/relationships/hyperlink" Id="rId68" Target="https://doi.org/10.3390/electronics15112362" TargetMode="External" /><Relationship Type="http://schemas.openxmlformats.org/officeDocument/2006/relationships/hyperlink" Id="rId66" Target="https://doi.org/10.3390/math13060949" TargetMode="External" /><Relationship Type="http://schemas.openxmlformats.org/officeDocument/2006/relationships/hyperlink" Id="rId62" Target="https://doi.org/10.3390/modelling6040165" TargetMode="External" /><Relationship Type="http://schemas.openxmlformats.org/officeDocument/2006/relationships/hyperlink" Id="rId61" Target="https://doi.org/10.3390/s25113352" TargetMode="External" /><Relationship Type="http://schemas.openxmlformats.org/officeDocument/2006/relationships/hyperlink" Id="rId34" Target="https://doi.org/10.48550/arXiv.2403.04782" TargetMode="External" /><Relationship Type="http://schemas.openxmlformats.org/officeDocument/2006/relationships/hyperlink" Id="rId27" Target="https://doi.org/10.48550/arXiv.2501.00309" TargetMode="External" /><Relationship Type="http://schemas.openxmlformats.org/officeDocument/2006/relationships/hyperlink" Id="rId33" Target="https://doi.org/10.48550/arXiv.2504.09823" TargetMode="External" /><Relationship Type="http://schemas.openxmlformats.org/officeDocument/2006/relationships/hyperlink" Id="rId70" Target="https://doi.org/10.48550/arXiv.2506.05690" TargetMode="External" /><Relationship Type="http://schemas.openxmlformats.org/officeDocument/2006/relationships/hyperlink" Id="rId52" Target="https://doi.org/10.48550/arXiv.2507.20804" TargetMode="External" /><Relationship Type="http://schemas.openxmlformats.org/officeDocument/2006/relationships/hyperlink" Id="rId59" Target="https://doi.org/10.48550/arXiv.2508.09893" TargetMode="External" /><Relationship Type="http://schemas.openxmlformats.org/officeDocument/2006/relationships/hyperlink" Id="rId31" Target="https://doi.org/10.48550/arXiv.2508.19855" TargetMode="External" /><Relationship Type="http://schemas.openxmlformats.org/officeDocument/2006/relationships/hyperlink" Id="rId44" Target="https://doi.org/10.48550/arXiv.2509.25530" TargetMode="External" /><Relationship Type="http://schemas.openxmlformats.org/officeDocument/2006/relationships/hyperlink" Id="rId43" Target="https://doi.org/10.48550/arXiv.2510.02827" TargetMode="External" /><Relationship Type="http://schemas.openxmlformats.org/officeDocument/2006/relationships/hyperlink" Id="rId64" Target="https://doi.org/10.48550/arXiv.2510.13590" TargetMode="External" /><Relationship Type="http://schemas.openxmlformats.org/officeDocument/2006/relationships/hyperlink" Id="rId37" Target="https://doi.org/10.48550/arXiv.2511.05991" TargetMode="External" /><Relationship Type="http://schemas.openxmlformats.org/officeDocument/2006/relationships/hyperlink" Id="rId65" Target="https://doi.org/10.48550/arXiv.2512.09148" TargetMode="External" /><Relationship Type="http://schemas.openxmlformats.org/officeDocument/2006/relationships/hyperlink" Id="rId28" Target="https://doi.org/10.48550/arXiv.2602.03578" TargetMode="External" /><Relationship Type="http://schemas.openxmlformats.org/officeDocument/2006/relationships/hyperlink" Id="rId53" Target="https://doi.org/10.63503/j.ijaimd.2025.110"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2026-06-07T18:49:02Z</dcterms:created>
  <dcterms:modified xsi:type="dcterms:W3CDTF">2026-06-07T18:49:02Z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bliography">
    <vt:lpwstr>/tmp/document-temp/references_9fcb8346c9c0f3ff_1780858141.bib</vt:lpwstr>
  </property>
  <property fmtid="{D5CDD505-2E9C-101B-9397-08002B2CF9AE}" pid="3" name="csl">
    <vt:lpwstr>/tmp/document-temp/style_9fcb8346c9c0f3ff_1780858141.csl</vt:lpwstr>
  </property>
  <property fmtid="{D5CDD505-2E9C-101B-9397-08002B2CF9AE}" pid="4" name="link-citations">
    <vt:lpwstr>True</vt:lpwstr>
  </property>
</Properties>
</file>