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4 — Agentic Enterprise Intelligence</w:t>
      </w:r>
    </w:p>
    <w:p>
      <w:pPr>
        <w:pStyle w:val="FirstParagraph"/>
      </w:pPr>
      <w:r>
        <w:t xml:space="preserve">Conduct a comprehensive review of agentic AI systems, autonomous planning, multi-agent architectures, cognitive architectures, tool-using agents, and AI orchestration frameworks. Evaluate how agentic systems can perform architecture analysis, portfolio optimization, risk assessment, red-team evaluations, and strategic planning. Assess governance, human-in-the-loop requirements, explainability, and trust considerations.</w:t>
      </w:r>
    </w:p>
    <w:p>
      <w:pPr>
        <w:pStyle w:val="BodyText"/>
      </w:pPr>
      <w:r>
        <w:rPr>
          <w:b/>
          <w:bCs/>
        </w:rPr>
        <w:t xml:space="preserve">Generated on:</w:t>
      </w:r>
      <w:r>
        <w:t xml:space="preserve"> </w:t>
      </w:r>
      <w:r>
        <w:t xml:space="preserve">June 07, 2026</w:t>
      </w:r>
    </w:p>
    <w:p>
      <w:r>
        <w:pict>
          <v:rect style="width:0;height:1.5pt" o:hralign="center" o:hrstd="t" o:hr="t"/>
        </w:pict>
      </w:r>
    </w:p>
    <w:p>
      <w:pPr>
        <w:pStyle w:val="FirstParagraph"/>
      </w:pPr>
      <w:r>
        <w:t xml:space="preserve">Now let me create a structured outline for this comprehensive literature review based on the search results I've gathered.</w:t>
      </w:r>
    </w:p>
    <w:p>
      <w:pPr>
        <w:pStyle w:val="Heading2"/>
      </w:pPr>
      <w:r>
        <w:t xml:space="preserve">Comprehensive Literature Review: Agentic Enterprise Intelligence</w:t>
      </w:r>
    </w:p>
    <w:p>
      <w:pPr>
        <w:pStyle w:val="Heading3"/>
      </w:pPr>
      <w:r>
        <w:t xml:space="preserve">Outline for Literature Review</w:t>
      </w:r>
    </w:p>
    <w:p>
      <w:pPr>
        <w:pStyle w:val="FirstParagraph"/>
      </w:pPr>
      <w:r>
        <w:t xml:space="preserve">I.</w:t>
      </w:r>
      <w:r>
        <w:t xml:space="preserve"> </w:t>
      </w:r>
      <w:r>
        <w:rPr>
          <w:b/>
          <w:bCs/>
        </w:rPr>
        <w:t xml:space="preserve">Foundations of Agentic AI Systems (6-8 papers)</w:t>
      </w:r>
      <w:r>
        <w:t xml:space="preserve"> </w:t>
      </w:r>
      <w:r>
        <w:t xml:space="preserve">- A. Defining Agentic AI and Autonomous Agents</w:t>
      </w:r>
      <w:r>
        <w:t xml:space="preserve"> </w:t>
      </w:r>
      <w:r>
        <w:t xml:space="preserve">- B. Core Architectural Principles</w:t>
      </w:r>
      <w:r>
        <w:t xml:space="preserve"> </w:t>
      </w:r>
      <w:r>
        <w:t xml:space="preserve">- C. Evolution from Reactive to Goal-Directed Systems</w:t>
      </w:r>
      <w:r>
        <w:t xml:space="preserve"> </w:t>
      </w:r>
      <w:r>
        <w:t xml:space="preserve">- D. Historical Context and Theoretical Foundations</w:t>
      </w:r>
    </w:p>
    <w:p>
      <w:pPr>
        <w:pStyle w:val="BodyText"/>
      </w:pPr>
      <w:r>
        <w:t xml:space="preserve">II.</w:t>
      </w:r>
      <w:r>
        <w:t xml:space="preserve"> </w:t>
      </w:r>
      <w:r>
        <w:rPr>
          <w:b/>
          <w:bCs/>
        </w:rPr>
        <w:t xml:space="preserve">Multi-Agent Architectures and Cognitive Systems (8-10 papers)</w:t>
      </w:r>
      <w:r>
        <w:t xml:space="preserve"> </w:t>
      </w:r>
      <w:r>
        <w:t xml:space="preserve">- A. Multi-Agent System Design Patterns</w:t>
      </w:r>
      <w:r>
        <w:t xml:space="preserve"> </w:t>
      </w:r>
      <w:r>
        <w:t xml:space="preserve">- B. Cognitive Architectures (BDI, ACT-R, CoALA)</w:t>
      </w:r>
      <w:r>
        <w:t xml:space="preserve"> </w:t>
      </w:r>
      <w:r>
        <w:t xml:space="preserve">- C. Agent Coordination and Communication Protocols</w:t>
      </w:r>
      <w:r>
        <w:t xml:space="preserve"> </w:t>
      </w:r>
      <w:r>
        <w:t xml:space="preserve">- D. Hierarchical and Distributed Agent Systems</w:t>
      </w:r>
      <w:r>
        <w:t xml:space="preserve"> </w:t>
      </w:r>
      <w:r>
        <w:t xml:space="preserve">- E. Memory and Knowledge Management in Multi-Agent Systems</w:t>
      </w:r>
    </w:p>
    <w:p>
      <w:pPr>
        <w:pStyle w:val="BodyText"/>
      </w:pPr>
      <w:r>
        <w:t xml:space="preserve">III.</w:t>
      </w:r>
      <w:r>
        <w:t xml:space="preserve"> </w:t>
      </w:r>
      <w:r>
        <w:rPr>
          <w:b/>
          <w:bCs/>
        </w:rPr>
        <w:t xml:space="preserve">Tool Integration and Orchestration Frameworks (8-10 papers)</w:t>
      </w:r>
      <w:r>
        <w:t xml:space="preserve"> </w:t>
      </w:r>
      <w:r>
        <w:t xml:space="preserve">- A. Tool-Using Agents and External Resource Integration</w:t>
      </w:r>
      <w:r>
        <w:t xml:space="preserve"> </w:t>
      </w:r>
      <w:r>
        <w:t xml:space="preserve">- B. Model Context Protocol (MCP) and Standards</w:t>
      </w:r>
      <w:r>
        <w:t xml:space="preserve"> </w:t>
      </w:r>
      <w:r>
        <w:t xml:space="preserve">- C. Retrieval-Augmented Generation (RAG) in Agentic Systems</w:t>
      </w:r>
      <w:r>
        <w:t xml:space="preserve"> </w:t>
      </w:r>
      <w:r>
        <w:t xml:space="preserve">- D. API Integration and Workflow Orchestration</w:t>
      </w:r>
      <w:r>
        <w:t xml:space="preserve"> </w:t>
      </w:r>
      <w:r>
        <w:t xml:space="preserve">- E. Scalability and Performance Optimization</w:t>
      </w:r>
    </w:p>
    <w:p>
      <w:pPr>
        <w:pStyle w:val="BodyText"/>
      </w:pPr>
      <w:r>
        <w:t xml:space="preserve">IV.</w:t>
      </w:r>
      <w:r>
        <w:t xml:space="preserve"> </w:t>
      </w:r>
      <w:r>
        <w:rPr>
          <w:b/>
          <w:bCs/>
        </w:rPr>
        <w:t xml:space="preserve">Enterprise Applications and Use Cases (10-12 papers)</w:t>
      </w:r>
      <w:r>
        <w:t xml:space="preserve"> </w:t>
      </w:r>
      <w:r>
        <w:t xml:space="preserve">- A. Portfolio Optimization and Risk Management</w:t>
      </w:r>
      <w:r>
        <w:t xml:space="preserve"> </w:t>
      </w:r>
      <w:r>
        <w:t xml:space="preserve">- B. Architecture Analysis and System Design</w:t>
      </w:r>
      <w:r>
        <w:t xml:space="preserve"> </w:t>
      </w:r>
      <w:r>
        <w:t xml:space="preserve">- C. Strategic Planning and Decision Support</w:t>
      </w:r>
      <w:r>
        <w:t xml:space="preserve"> </w:t>
      </w:r>
      <w:r>
        <w:t xml:space="preserve">- D. Software Engineering and DevOps Automation</w:t>
      </w:r>
      <w:r>
        <w:t xml:space="preserve"> </w:t>
      </w:r>
      <w:r>
        <w:t xml:space="preserve">- E. Healthcare, Finance, and Regulatory Compliance</w:t>
      </w:r>
    </w:p>
    <w:p>
      <w:pPr>
        <w:pStyle w:val="BodyText"/>
      </w:pPr>
      <w:r>
        <w:t xml:space="preserve">V.</w:t>
      </w:r>
      <w:r>
        <w:t xml:space="preserve"> </w:t>
      </w:r>
      <w:r>
        <w:rPr>
          <w:b/>
          <w:bCs/>
        </w:rPr>
        <w:t xml:space="preserve">Governance, Human-in-the-Loop, and Trust (12-14 papers)</w:t>
      </w:r>
      <w:r>
        <w:t xml:space="preserve"> </w:t>
      </w:r>
      <w:r>
        <w:t xml:space="preserve">- A. AI Governance Frameworks and Maturity Models</w:t>
      </w:r>
      <w:r>
        <w:t xml:space="preserve"> </w:t>
      </w:r>
      <w:r>
        <w:t xml:space="preserve">- B. Human-in-the-Loop Decision Making</w:t>
      </w:r>
      <w:r>
        <w:t xml:space="preserve"> </w:t>
      </w:r>
      <w:r>
        <w:t xml:space="preserve">- C. Explainability and Interpretability</w:t>
      </w:r>
      <w:r>
        <w:t xml:space="preserve"> </w:t>
      </w:r>
      <w:r>
        <w:t xml:space="preserve">- D. Trust Calibration and Accountability</w:t>
      </w:r>
      <w:r>
        <w:t xml:space="preserve"> </w:t>
      </w:r>
      <w:r>
        <w:t xml:space="preserve">- E. Regulatory Compliance (EU AI Act, NIST RMF)</w:t>
      </w:r>
    </w:p>
    <w:p>
      <w:pPr>
        <w:pStyle w:val="BodyText"/>
      </w:pPr>
      <w:r>
        <w:t xml:space="preserve">VI.</w:t>
      </w:r>
      <w:r>
        <w:t xml:space="preserve"> </w:t>
      </w:r>
      <w:r>
        <w:rPr>
          <w:b/>
          <w:bCs/>
        </w:rPr>
        <w:t xml:space="preserve">Safety, Red-Teaming, and Strategic Evaluation (8-10 papers)</w:t>
      </w:r>
      <w:r>
        <w:t xml:space="preserve"> </w:t>
      </w:r>
      <w:r>
        <w:t xml:space="preserve">- A. Red-Team Evaluation Methodologies</w:t>
      </w:r>
      <w:r>
        <w:t xml:space="preserve"> </w:t>
      </w:r>
      <w:r>
        <w:t xml:space="preserve">- B. Hallucination Detection and Mitigation</w:t>
      </w:r>
      <w:r>
        <w:t xml:space="preserve"> </w:t>
      </w:r>
      <w:r>
        <w:t xml:space="preserve">- C. Adversarial Testing Frameworks</w:t>
      </w:r>
      <w:r>
        <w:t xml:space="preserve"> </w:t>
      </w:r>
      <w:r>
        <w:t xml:space="preserve">- D. Safety Guardrails and Containment</w:t>
      </w:r>
      <w:r>
        <w:t xml:space="preserve"> </w:t>
      </w:r>
      <w:r>
        <w:t xml:space="preserve">- E. Emerging Risks and Mitigation Strategies</w:t>
      </w:r>
    </w:p>
    <w:p>
      <w:pPr>
        <w:pStyle w:val="BodyText"/>
      </w:pPr>
      <w:r>
        <w:t xml:space="preserve">Now let me write the comprehensive literature review with proper citations from the search results.</w:t>
      </w:r>
    </w:p>
    <w:p>
      <w:r>
        <w:pict>
          <v:rect style="width:0;height:1.5pt" o:hralign="center" o:hrstd="t" o:hr="t"/>
        </w:pict>
      </w:r>
    </w:p>
    <w:p>
      <w:pPr>
        <w:pStyle w:val="Heading1"/>
      </w:pPr>
      <w:r>
        <w:t xml:space="preserve">Comprehensive Literature Review: Agentic Enterprise Intelligence</w:t>
      </w:r>
    </w:p>
    <w:p>
      <w:pPr>
        <w:pStyle w:val="Heading2"/>
      </w:pPr>
      <w:r>
        <w:t xml:space="preserve">I. Foundations of Agentic AI Systems</w:t>
      </w:r>
    </w:p>
    <w:p>
      <w:pPr>
        <w:pStyle w:val="FirstParagraph"/>
      </w:pPr>
      <w:r>
        <w:t xml:space="preserve">Agentic artificial intelligence represents a fundamental paradigm shift in how intelligent systems operate within complex business environments. Unlike traditional reactive AI models that respond to individual prompts, agentic AI systems perceive their environment, reason over extended horizons, plan sequences of actions, and execute those actions using external tools and resources with minimal human intervention</w:t>
      </w:r>
      <w:r>
        <w:t xml:space="preserve"> </w:t>
      </w:r>
      <w:hyperlink w:anchor="ref-pankaj2026">
        <w:r>
          <w:rPr>
            <w:rStyle w:val="Hyperlink"/>
          </w:rPr>
          <w:t xml:space="preserve">[1]</w:t>
        </w:r>
      </w:hyperlink>
      <w:r>
        <w:t xml:space="preserve">. This transformation marks the evolution from stateless, prompt-driven generative models toward goal-directed systems capable of autonomous perception, planning, action, and adaptation through iterative control loops</w:t>
      </w:r>
      <w:r>
        <w:t xml:space="preserve"> </w:t>
      </w:r>
      <w:hyperlink w:anchor="ref-mamdouh2026">
        <w:r>
          <w:rPr>
            <w:rStyle w:val="Hyperlink"/>
          </w:rPr>
          <w:t xml:space="preserve">[2]</w:t>
        </w:r>
      </w:hyperlink>
      <w:r>
        <w:t xml:space="preserve">.</w:t>
      </w:r>
    </w:p>
    <w:p>
      <w:pPr>
        <w:pStyle w:val="BodyText"/>
      </w:pPr>
      <w:r>
        <w:t xml:space="preserve">The architectural transition underlying agentic AI connects foundational intelligent agent theories with contemporary large language model (LLM)-centric approaches. Historical frameworks including reactive agents, deliberative architectures, and Belief-Desire-Intention (BDI) models provide conceptual grounding, while modern implementations integrate tool invocation, memory-augmented reasoning, and multi-agent coordination mechanisms</w:t>
      </w:r>
      <w:r>
        <w:t xml:space="preserve"> </w:t>
      </w:r>
      <w:hyperlink w:anchor="ref-mamdouh2026">
        <w:r>
          <w:rPr>
            <w:rStyle w:val="Hyperlink"/>
          </w:rPr>
          <w:t xml:space="preserve">[2]</w:t>
        </w:r>
      </w:hyperlink>
      <w:r>
        <w:t xml:space="preserve">. Large Language Models have undergone dramatic transformation from static text-completion engines to dynamic, tool-wielding autonomous agents capable of planning, reasoning, and executing multi-step tasks in real-world environments</w:t>
      </w:r>
      <w:r>
        <w:t xml:space="preserve"> </w:t>
      </w:r>
      <w:hyperlink w:anchor="ref-deepti2026">
        <w:r>
          <w:rPr>
            <w:rStyle w:val="Hyperlink"/>
          </w:rPr>
          <w:t xml:space="preserve">[3]</w:t>
        </w:r>
      </w:hyperlink>
      <w:r>
        <w:t xml:space="preserve">.</w:t>
      </w:r>
    </w:p>
    <w:p>
      <w:pPr>
        <w:pStyle w:val="BodyText"/>
      </w:pPr>
      <w:r>
        <w:t xml:space="preserve">Agentic AI systems distinguish themselves through several core capabilities: perception modules that interpret complex environments, memory architectures that maintain context across interactions, planning and reasoning engines that decompose complex objectives, tool-use frameworks that extend capabilities through external resources, and multi-agent coordination protocols that enable distributed problem-solving</w:t>
      </w:r>
      <w:r>
        <w:t xml:space="preserve"> </w:t>
      </w:r>
      <w:hyperlink w:anchor="ref-pankaj2026">
        <w:r>
          <w:rPr>
            <w:rStyle w:val="Hyperlink"/>
          </w:rPr>
          <w:t xml:space="preserve">[1]</w:t>
        </w:r>
      </w:hyperlink>
      <w:r>
        <w:t xml:space="preserve">. These systems already support the automation of complex workflows in software engineering, scientific discovery, and web navigation, yet the variety of emerging designs—from simple single-loop agents to hierarchical multi-agent systems—makes the landscape challenging to navigate</w:t>
      </w:r>
      <w:r>
        <w:t xml:space="preserve"> </w:t>
      </w:r>
      <w:hyperlink w:anchor="ref-v2026">
        <w:r>
          <w:rPr>
            <w:rStyle w:val="Hyperlink"/>
          </w:rPr>
          <w:t xml:space="preserve">[4]</w:t>
        </w:r>
      </w:hyperlink>
      <w:r>
        <w:t xml:space="preserve">.</w:t>
      </w:r>
    </w:p>
    <w:p>
      <w:pPr>
        <w:pStyle w:val="Heading2"/>
      </w:pPr>
      <w:r>
        <w:t xml:space="preserve">II. Multi-Agent Architectures and Cognitive Architectures</w:t>
      </w:r>
    </w:p>
    <w:p>
      <w:pPr>
        <w:pStyle w:val="FirstParagraph"/>
      </w:pPr>
      <w:r>
        <w:t xml:space="preserve">Multi-agent systems represent a critical evolution in agentic architecture, enabling distributed problem-solving through specialized agents that collaborate toward shared or complementary objectives. The architectural landscape has expanded significantly, with contemporary frameworks demonstrating sophisticated coordination mechanisms. Multi-agent systems leverage LLM-powered agents with planning and tool-usage capabilities that enable autonomous, context-aware coordination by integrating reasoning engines, tool orchestration, memory, retrieval-augmented generation, and safety layers</w:t>
      </w:r>
      <w:r>
        <w:t xml:space="preserve"> </w:t>
      </w:r>
      <w:hyperlink w:anchor="ref-marcos2025">
        <w:r>
          <w:rPr>
            <w:rStyle w:val="Hyperlink"/>
          </w:rPr>
          <w:t xml:space="preserve">[5]</w:t>
        </w:r>
      </w:hyperlink>
      <w:r>
        <w:t xml:space="preserve">.</w:t>
      </w:r>
    </w:p>
    <w:p>
      <w:pPr>
        <w:pStyle w:val="BodyText"/>
      </w:pPr>
      <w:r>
        <w:t xml:space="preserve">Cognitive architectures provide the theoretical foundation for understanding how agents perceive, reason, and act. The CoALA framework (Cognitive Architectures for Language Agents) proposes a systematic organization of agent components through modular memory systems, structured action spaces for interacting with both internal memory and external environments, and generalized decision-making processes to choose actions</w:t>
      </w:r>
      <w:r>
        <w:t xml:space="preserve"> </w:t>
      </w:r>
      <w:hyperlink w:anchor="ref-t2023">
        <w:r>
          <w:rPr>
            <w:rStyle w:val="Hyperlink"/>
          </w:rPr>
          <w:t xml:space="preserve">[6]</w:t>
        </w:r>
      </w:hyperlink>
      <w:r>
        <w:t xml:space="preserve">. This framework retrospectively organizes recent work while prospectively identifying directions toward more capable agents, contextualizing contemporary language agents within the broader history of AI.</w:t>
      </w:r>
    </w:p>
    <w:p>
      <w:pPr>
        <w:pStyle w:val="BodyText"/>
      </w:pPr>
      <w:r>
        <w:t xml:space="preserve">Hierarchical multi-agent frameworks address the complexity of coordinating multiple specialized agents. These systems employ hierarchical task networks where supervisor agents decompose user goals into smaller executable subtasks and coordinate execution through reasoning-driven workflows</w:t>
      </w:r>
      <w:r>
        <w:t xml:space="preserve"> </w:t>
      </w:r>
      <w:hyperlink w:anchor="ref-nagaraju2026">
        <w:r>
          <w:rPr>
            <w:rStyle w:val="Hyperlink"/>
          </w:rPr>
          <w:t xml:space="preserve">[7]</w:t>
        </w:r>
      </w:hyperlink>
      <w:r>
        <w:t xml:space="preserve">. By combining chain-of-thought reasoning, contextual memory, and intelligent task decomposition, hierarchical frameworks improve task completion accuracy, planning efficiency, and adaptability in dynamic workflow settings compared to traditional single-agent and flat multi-agent architectures.</w:t>
      </w:r>
    </w:p>
    <w:p>
      <w:pPr>
        <w:pStyle w:val="BodyText"/>
      </w:pPr>
      <w:r>
        <w:t xml:space="preserve">Memory management emerges as critical infrastructure in multi-agent systems. G-Memory, a hierarchical agentic memory system inspired by organizational memory theory, manages lengthy multi-agent interactions through three-tier graph hierarchies: insight graphs for high-level generalizable knowledge, query graphs for efficient retrieval, and interaction graphs for fine-grained collaboration trajectories</w:t>
      </w:r>
      <w:r>
        <w:t xml:space="preserve"> </w:t>
      </w:r>
      <w:hyperlink w:anchor="ref-guimin2025">
        <w:r>
          <w:rPr>
            <w:rStyle w:val="Hyperlink"/>
          </w:rPr>
          <w:t xml:space="preserve">[8]</w:t>
        </w:r>
      </w:hyperlink>
      <w:r>
        <w:t xml:space="preserve">. This sophisticated memory approach enables agents to perform bi-directional traversal to retrieve both generalizable insights and condensed interaction histories, supporting cross-trial knowledge leverage.</w:t>
      </w:r>
    </w:p>
    <w:p>
      <w:pPr>
        <w:pStyle w:val="BodyText"/>
      </w:pPr>
      <w:r>
        <w:t xml:space="preserve">Agent communication protocols and coordination mechanisms determine system effectiveness. Multi-agent systems must balance autonomy with alignment, requiring explicit governance across various architectural aspects including goal-driven task management, agent composition, multi-agent collaboration, and context interaction</w:t>
      </w:r>
      <w:r>
        <w:t xml:space="preserve"> </w:t>
      </w:r>
      <w:hyperlink w:anchor="ref-thorsten2023">
        <w:r>
          <w:rPr>
            <w:rStyle w:val="Hyperlink"/>
          </w:rPr>
          <w:t xml:space="preserve">[9]</w:t>
        </w:r>
      </w:hyperlink>
      <w:r>
        <w:t xml:space="preserve">. Contract Net Protocol, Agent-to-Agent communication, and emerging standardized protocols provide structured frameworks for agent negotiation and information exchange.</w:t>
      </w:r>
    </w:p>
    <w:p>
      <w:pPr>
        <w:pStyle w:val="Heading2"/>
      </w:pPr>
      <w:r>
        <w:t xml:space="preserve">III. Tool Integration and Orchestration Frameworks</w:t>
      </w:r>
    </w:p>
    <w:p>
      <w:pPr>
        <w:pStyle w:val="FirstParagraph"/>
      </w:pPr>
      <w:r>
        <w:t xml:space="preserve">Tool-using agents represent a fundamental capability distinguishing agentic systems from traditional AI. These agents leverage external tools, APIs, and domain-specific functions to extend their problem-solving capabilities beyond pure reasoning. The ReAct framework combines reasoning and acting in an interleaved fashion, enabling agents to call external tools, observe results, and dynamically adjust their approach</w:t>
      </w:r>
      <w:r>
        <w:t xml:space="preserve"> </w:t>
      </w:r>
      <w:hyperlink w:anchor="ref-deepti2026">
        <w:r>
          <w:rPr>
            <w:rStyle w:val="Hyperlink"/>
          </w:rPr>
          <w:t xml:space="preserve">[3]</w:t>
        </w:r>
      </w:hyperlink>
      <w:r>
        <w:t xml:space="preserve">. This reasoning-in-action paradigm significantly improves performance on multi-step question answering, logical inference, and knowledge-retrieval scenarios.</w:t>
      </w:r>
    </w:p>
    <w:p>
      <w:pPr>
        <w:pStyle w:val="BodyText"/>
      </w:pPr>
      <w:r>
        <w:t xml:space="preserve">Retrieval-Augmented Generation (RAG) has emerged as a critical pattern for grounding agent reasoning in external information. Agentic RAG transcends static RAG limitations by embedding autonomous agents into the retrieval pipeline, enabling these agents to leverage agentic design patterns—reflection, planning, tool use, and multi-agent collaboration—to dynamically manage retrieval strategies and iteratively refine contextual understanding</w:t>
      </w:r>
      <w:r>
        <w:t xml:space="preserve"> </w:t>
      </w:r>
      <w:hyperlink w:anchor="ref-aditi2025">
        <w:r>
          <w:rPr>
            <w:rStyle w:val="Hyperlink"/>
          </w:rPr>
          <w:t xml:space="preserve">[10]</w:t>
        </w:r>
      </w:hyperlink>
      <w:r>
        <w:t xml:space="preserve">. This integration enables Agentic RAG systems to deliver flexibility, scalability, and context-awareness across diverse applications including healthcare, finance, education, and enterprise document processing.</w:t>
      </w:r>
    </w:p>
    <w:p>
      <w:pPr>
        <w:pStyle w:val="BodyText"/>
      </w:pPr>
      <w:r>
        <w:t xml:space="preserve">The Model Context Protocol (MCP) represents an emerging standard for tool orchestration and agent coordination. MCP provides an open standard enabling agents to access tools, data sources, and external systems through standardized interfaces, moving beyond fixed API calls toward dynamic, runtime-discovered capabilities</w:t>
      </w:r>
      <w:r>
        <w:t xml:space="preserve"> </w:t>
      </w:r>
      <w:hyperlink w:anchor="ref-v2026">
        <w:r>
          <w:rPr>
            <w:rStyle w:val="Hyperlink"/>
          </w:rPr>
          <w:t xml:space="preserve">[4]</w:t>
        </w:r>
      </w:hyperlink>
      <w:r>
        <w:t xml:space="preserve">. This protocol-driven approach facilitates interoperability across different agent frameworks and enables seamless integration of new tools without architectural redesign.</w:t>
      </w:r>
    </w:p>
    <w:p>
      <w:pPr>
        <w:pStyle w:val="BodyText"/>
      </w:pPr>
      <w:r>
        <w:t xml:space="preserve">Orchestration frameworks provide concrete implementations for coordinating complex multi-step workflows. LangGraph implements stateful agent orchestration through deterministic workflow execution integrating exactly-once semantics with explicit state machines</w:t>
      </w:r>
      <w:r>
        <w:t xml:space="preserve"> </w:t>
      </w:r>
      <w:hyperlink w:anchor="ref-xinyuan2025">
        <w:r>
          <w:rPr>
            <w:rStyle w:val="Hyperlink"/>
          </w:rPr>
          <w:t xml:space="preserve">[11]</w:t>
        </w:r>
      </w:hyperlink>
      <w:r>
        <w:t xml:space="preserve">. CrewAI enables role-based multi-agent systems where specialized agents collaborate with defined responsibilities. AutoGen provides conversational multi-agent frameworks supporting flexible agent interactions. These frameworks operationalize theoretical multi-agent architectures into production-ready systems.</w:t>
      </w:r>
    </w:p>
    <w:p>
      <w:pPr>
        <w:pStyle w:val="BodyText"/>
      </w:pPr>
      <w:r>
        <w:t xml:space="preserve">API integration patterns determine system capability and scalability. The Agent-Ready Architecture (ARA) framework wraps legacy System APIs through MCP-compliant orchestration layers that enrich deterministic endpoints with natural-language tool descriptions and structured parameter schemas</w:t>
      </w:r>
      <w:r>
        <w:t xml:space="preserve"> </w:t>
      </w:r>
      <w:hyperlink w:anchor="ref-chetan2025">
        <w:r>
          <w:rPr>
            <w:rStyle w:val="Hyperlink"/>
          </w:rPr>
          <w:t xml:space="preserve">[12]</w:t>
        </w:r>
      </w:hyperlink>
      <w:r>
        <w:t xml:space="preserve">. This approach bridges the gap between decades of carefully engineered system APIs and the fluid, semantically-rich tool interfaces that agentic systems require, achieving 90% semantic discovery precision and reducing multi-tool chain latency by 60.5%.</w:t>
      </w:r>
    </w:p>
    <w:p>
      <w:pPr>
        <w:pStyle w:val="Heading2"/>
      </w:pPr>
      <w:r>
        <w:t xml:space="preserve">IV. Enterprise Applications and Strategic Use Cases</w:t>
      </w:r>
    </w:p>
    <w:p>
      <w:pPr>
        <w:pStyle w:val="Heading3"/>
      </w:pPr>
      <w:r>
        <w:t xml:space="preserve">Portfolio Optimization and Risk Assessment</w:t>
      </w:r>
    </w:p>
    <w:p>
      <w:pPr>
        <w:pStyle w:val="FirstParagraph"/>
      </w:pPr>
      <w:r>
        <w:t xml:space="preserve">Agentic AI systems demonstrate substantial capability in financial applications, particularly portfolio optimization and risk management. Autonomous portfolio management agents employ deep reinforcement learning (DRL) with risk-aware constraints, multi-objective optimization frameworks, and explainable AI techniques to manage complex portfolios in real time</w:t>
      </w:r>
      <w:r>
        <w:t xml:space="preserve"> </w:t>
      </w:r>
      <w:hyperlink w:anchor="ref-alex2026">
        <w:r>
          <w:rPr>
            <w:rStyle w:val="Hyperlink"/>
          </w:rPr>
          <w:t xml:space="preserve">[13]</w:t>
        </w:r>
      </w:hyperlink>
      <w:r>
        <w:t xml:space="preserve">. These agents monitor Greeks, volatility regime shifts, and liquidity conditions while dynamically hedging multi-asset portfolios under risk-aware, multi-objective, and explainable decision-making frameworks.</w:t>
      </w:r>
    </w:p>
    <w:p>
      <w:pPr>
        <w:pStyle w:val="BodyText"/>
      </w:pPr>
      <w:r>
        <w:t xml:space="preserve">Graph attention-based heterogeneous multi-agent DRL frameworks achieve superior portfolio optimization by modeling time-varying asset correlations and dependencies while utilizing specialized agents for risk assessment, return prediction, and market environment perception</w:t>
      </w:r>
      <w:r>
        <w:t xml:space="preserve"> </w:t>
      </w:r>
      <w:hyperlink w:anchor="ref-bingqi2025">
        <w:r>
          <w:rPr>
            <w:rStyle w:val="Hyperlink"/>
          </w:rPr>
          <w:t xml:space="preserve">[14]</w:t>
        </w:r>
      </w:hyperlink>
      <w:r>
        <w:t xml:space="preserve">. Empirical evaluation demonstrates 16.8% annualized returns, 1.34 Sharpe ratios, and 8.2% maximum drawdown, significantly outperforming traditional mean-variance optimization and equal-weight portfolios. Hierarchical DRL systems introduce auxiliary agents that collaborate with executive agents to overcome sparse reward challenges and curse of dimensionality, achieving Sharpe ratio improvements exceeding 8.2% compared to traditional strategies</w:t>
      </w:r>
      <w:r>
        <w:t xml:space="preserve"> </w:t>
      </w:r>
      <w:hyperlink w:anchor="ref-ruoyu2025">
        <w:r>
          <w:rPr>
            <w:rStyle w:val="Hyperlink"/>
          </w:rPr>
          <w:t xml:space="preserve">[15]</w:t>
        </w:r>
      </w:hyperlink>
      <w:r>
        <w:t xml:space="preserve">.</w:t>
      </w:r>
    </w:p>
    <w:p>
      <w:pPr>
        <w:pStyle w:val="BodyText"/>
      </w:pPr>
      <w:r>
        <w:t xml:space="preserve">Risk-constrained reinforcement learning approaches directly address regulatory requirements by incorporating hard constraints during decision-making. Augmented Lagrangian Multiplier methods enforce constraints on agents without violating portfolio restrictions, demonstrating zero constraint violations during testing</w:t>
      </w:r>
      <w:r>
        <w:t xml:space="preserve"> </w:t>
      </w:r>
      <w:hyperlink w:anchor="ref-bayaraa2025">
        <w:r>
          <w:rPr>
            <w:rStyle w:val="Hyperlink"/>
          </w:rPr>
          <w:t xml:space="preserve">[16]</w:t>
        </w:r>
      </w:hyperlink>
      <w:r>
        <w:t xml:space="preserve">. AlphaAgents, a role-based multi-agent system for equity portfolio construction, evaluates specialized agents (fundamental analysts, sentiment analysts, technical analysts, traders) under varying risk tolerances, providing critical insights into multi-agent effectiveness for equity research.</w:t>
      </w:r>
    </w:p>
    <w:p>
      <w:pPr>
        <w:pStyle w:val="Heading3"/>
      </w:pPr>
      <w:r>
        <w:t xml:space="preserve">Architecture Analysis and Strategic Planning</w:t>
      </w:r>
    </w:p>
    <w:p>
      <w:pPr>
        <w:pStyle w:val="FirstParagraph"/>
      </w:pPr>
      <w:r>
        <w:t xml:space="preserve">Agentic systems enable sophisticated architecture analysis and strategic planning capabilities. These systems perform multi-dimensional analysis spanning technical, organizational, and environmental dimensions. Enterprise Architecture frameworks integrating agentic AI orchestrate across infrastructure, integration, governance, and intelligence layers with centralized control planes managing policies, identity, scheduling, and lifecycle governance</w:t>
      </w:r>
      <w:r>
        <w:t xml:space="preserve"> </w:t>
      </w:r>
      <w:hyperlink w:anchor="ref-padmanabham2026">
        <w:r>
          <w:rPr>
            <w:rStyle w:val="Hyperlink"/>
          </w:rPr>
          <w:t xml:space="preserve">[17]</w:t>
        </w:r>
      </w:hyperlink>
      <w:r>
        <w:t xml:space="preserve">. Multi-layer Agentic AI architectures demonstrate 3-10× workflow acceleration with 60-80% reductions in mean time to resolution for critical tasks.</w:t>
      </w:r>
    </w:p>
    <w:p>
      <w:pPr>
        <w:pStyle w:val="BodyText"/>
      </w:pPr>
      <w:r>
        <w:t xml:space="preserve">Strategic planning applications leverage agentic systems to decompose complex organizational objectives into executable action sequences. Decision-support frameworks employ AI agents to conduct scenario analysis, stress-test financial assumptions, and generate strategic options under uncertainty</w:t>
      </w:r>
      <w:r>
        <w:t xml:space="preserve"> </w:t>
      </w:r>
      <w:hyperlink w:anchor="ref-shah2025">
        <w:r>
          <w:rPr>
            <w:rStyle w:val="Hyperlink"/>
          </w:rPr>
          <w:t xml:space="preserve">[18]</w:t>
        </w:r>
      </w:hyperlink>
      <w:r>
        <w:t xml:space="preserve">. By integrating problem framing, data governance, model portfolio design, human-AI teaming, and impact measurement, these frameworks enable organizations to navigate volatile, uncertain, complex, and ambiguous environments while maintaining human oversight.</w:t>
      </w:r>
    </w:p>
    <w:p>
      <w:pPr>
        <w:pStyle w:val="Heading3"/>
      </w:pPr>
      <w:r>
        <w:t xml:space="preserve">Healthcare and Clinical Operations</w:t>
      </w:r>
    </w:p>
    <w:p>
      <w:pPr>
        <w:pStyle w:val="FirstParagraph"/>
      </w:pPr>
      <w:r>
        <w:t xml:space="preserve">Healthcare represents a high-impact application domain for agentic AI. Multi-agent orchestration frameworks extract temporal, domain-specific variables from unstructured clinical records with greater than 95% confidence, constructing comprehensive patient timelines that distinguish between current and historical barriers</w:t>
      </w:r>
      <w:r>
        <w:t xml:space="preserve"> </w:t>
      </w:r>
      <w:hyperlink w:anchor="ref-a2026">
        <w:r>
          <w:rPr>
            <w:rStyle w:val="Hyperlink"/>
          </w:rPr>
          <w:t xml:space="preserve">[19]</w:t>
        </w:r>
      </w:hyperlink>
      <w:r>
        <w:t xml:space="preserve">. These systems address single-model limitations through cross-validation, evidence grounding, and temporal accuracy maintenance.</w:t>
      </w:r>
    </w:p>
    <w:p>
      <w:pPr>
        <w:pStyle w:val="BodyText"/>
      </w:pPr>
      <w:r>
        <w:t xml:space="preserve">Autonomous agentic AI frameworks orchestrate clinical workflows through decentralized decision-making enabled by multi-agent reinforcement learning. These systems coordinate across emergency triage, diagnostics, surgery, and discharge processes using HL7 Fast Healthcare Interoperability Resources (FHIR) standards while maintaining governance and safety protocols</w:t>
      </w:r>
      <w:r>
        <w:t xml:space="preserve"> </w:t>
      </w:r>
      <w:hyperlink w:anchor="ref-arjun2025">
        <w:r>
          <w:rPr>
            <w:rStyle w:val="Hyperlink"/>
          </w:rPr>
          <w:t xml:space="preserve">[20]</w:t>
        </w:r>
      </w:hyperlink>
      <w:r>
        <w:t xml:space="preserve">. Simulation-based evaluation demonstrates 60% faster ambulance response times, 38% shorter door-to-clinician intervals, and 22% higher operating room throughput compared to traditional workflows.</w:t>
      </w:r>
    </w:p>
    <w:p>
      <w:pPr>
        <w:pStyle w:val="Heading3"/>
      </w:pPr>
      <w:r>
        <w:t xml:space="preserve">Financial Services and Trading</w:t>
      </w:r>
    </w:p>
    <w:p>
      <w:pPr>
        <w:pStyle w:val="FirstParagraph"/>
      </w:pPr>
      <w:r>
        <w:t xml:space="preserve">TradingAgents framework simulates dynamic trading environments by orchestrating specialized LLM-powered agents in roles including fundamental analysts, sentiment analysts, technical analysts, and traders with varied risk profiles</w:t>
      </w:r>
      <w:r>
        <w:t xml:space="preserve"> </w:t>
      </w:r>
      <w:hyperlink w:anchor="ref-yijia2024">
        <w:r>
          <w:rPr>
            <w:rStyle w:val="Hyperlink"/>
          </w:rPr>
          <w:t xml:space="preserve">[21]</w:t>
        </w:r>
      </w:hyperlink>
      <w:r>
        <w:t xml:space="preserve">. Bull and Bear researcher agents assess market conditions while risk management teams monitor exposure, enabling traders to synthesize insights from debates and historical data. Multi-agent financial trading frameworks demonstrate superior cumulative returns, Sharpe ratios, and maximum drawdown compared to baseline models.</w:t>
      </w:r>
    </w:p>
    <w:p>
      <w:pPr>
        <w:pStyle w:val="Heading3"/>
      </w:pPr>
      <w:r>
        <w:t xml:space="preserve">Procurement and Supply Chain</w:t>
      </w:r>
    </w:p>
    <w:p>
      <w:pPr>
        <w:pStyle w:val="FirstParagraph"/>
      </w:pPr>
      <w:r>
        <w:t xml:space="preserve">Autonomous AI agents transform procure-to-pay workflows through intelligent invoice matching, anomaly detection, contract compliance monitoring, autonomous negotiation, payment optimization, and supplier risk assessment</w:t>
      </w:r>
      <w:r>
        <w:t xml:space="preserve"> </w:t>
      </w:r>
      <w:hyperlink w:anchor="ref-sujith2025">
        <w:r>
          <w:rPr>
            <w:rStyle w:val="Hyperlink"/>
          </w:rPr>
          <w:t xml:space="preserve">[22]</w:t>
        </w:r>
      </w:hyperlink>
      <w:r>
        <w:t xml:space="preserve">. These modular architectures demonstrate reduced cycle times, lower operational costs, and enhanced controls while enabling procurement professionals to reallocate toward value-adding activities. By positioning AI agents as intelligent collaborators augmenting human judgment, organizations maintain strategic oversight and accountability while achieving operational excellence.</w:t>
      </w:r>
    </w:p>
    <w:p>
      <w:pPr>
        <w:pStyle w:val="Heading2"/>
      </w:pPr>
      <w:r>
        <w:t xml:space="preserve">V. Governance, Human-in-the-Loop Frameworks, and Trust Architecture</w:t>
      </w:r>
    </w:p>
    <w:p>
      <w:pPr>
        <w:pStyle w:val="Heading3"/>
      </w:pPr>
      <w:r>
        <w:t xml:space="preserve">Governance Maturity and Organizational Structures</w:t>
      </w:r>
    </w:p>
    <w:p>
      <w:pPr>
        <w:pStyle w:val="FirstParagraph"/>
      </w:pPr>
      <w:r>
        <w:t xml:space="preserve">Enterprise governance of agentic AI systems requires formal, empirically-validated frameworks connecting governance capability to measurable business outcomes. The Agentic AI Governance Maturity Model (AAGMM) introduces a five-level framework spanning 12 governance domains grounded in NIST AI RMF and ISO/IEC 42001 standards</w:t>
      </w:r>
      <w:r>
        <w:t xml:space="preserve"> </w:t>
      </w:r>
      <w:hyperlink w:anchor="ref-vivek2026">
        <w:r>
          <w:rPr>
            <w:rStyle w:val="Hyperlink"/>
          </w:rPr>
          <w:t xml:space="preserve">[23]</w:t>
        </w:r>
      </w:hyperlink>
      <w:r>
        <w:t xml:space="preserve">. Validated through 750 simulation runs across five enterprise scenarios, this framework demonstrates statistically significant differences (p&lt;0.001, effect sizes d&gt;2.0) between all governance maturity levels, with Level 4-5 organizations achieving 94.3% lower sprawl indices, 96.4% fewer risk incidents, and 32.6% higher effective task completion rates.</w:t>
      </w:r>
    </w:p>
    <w:p>
      <w:pPr>
        <w:pStyle w:val="BodyText"/>
      </w:pPr>
      <w:r>
        <w:t xml:space="preserve">Agent sprawl patterns—functional duplication, shadow agents, orphaned agents, permission creep, and unmonitored delegation chains—represent governance challenges quantifiable through cost models. Industry surveys report that only 21% of enterprises have mature governance models for autonomous agents, while 40% of agentic AI projects are projected to fail by 2027 due to inadequate governance and risk controls</w:t>
      </w:r>
      <w:r>
        <w:t xml:space="preserve"> </w:t>
      </w:r>
      <w:hyperlink w:anchor="ref-vivek2026">
        <w:r>
          <w:rPr>
            <w:rStyle w:val="Hyperlink"/>
          </w:rPr>
          <w:t xml:space="preserve">[23]</w:t>
        </w:r>
      </w:hyperlink>
      <w:r>
        <w:t xml:space="preserve">.</w:t>
      </w:r>
    </w:p>
    <w:p>
      <w:pPr>
        <w:pStyle w:val="BodyText"/>
      </w:pPr>
      <w:r>
        <w:t xml:space="preserve">The Enterprise Agentic Architecture Framework (EAAF) provides a detailed multi-layered reference model incorporating six key layers: infrastructure, enterprise integration, orchestration and coordination, governance and safety, agent intelligence, and interaction, with a central Control Plane managing policies, identity, scheduling, observability, and agent lifecycle</w:t>
      </w:r>
      <w:r>
        <w:t xml:space="preserve"> </w:t>
      </w:r>
      <w:hyperlink w:anchor="ref-padmanabham2026">
        <w:r>
          <w:rPr>
            <w:rStyle w:val="Hyperlink"/>
          </w:rPr>
          <w:t xml:space="preserve">[17]</w:t>
        </w:r>
      </w:hyperlink>
      <w:r>
        <w:t xml:space="preserve">. Real-world case studies demonstrate workflow acceleration by 3-10× with MTTR reductions of 60-80%, coupled with significant improvements in safety and guided policy effectiveness.</w:t>
      </w:r>
    </w:p>
    <w:p>
      <w:pPr>
        <w:pStyle w:val="Heading3"/>
      </w:pPr>
      <w:r>
        <w:t xml:space="preserve">Human-in-the-Loop Decision Making</w:t>
      </w:r>
    </w:p>
    <w:p>
      <w:pPr>
        <w:pStyle w:val="FirstParagraph"/>
      </w:pPr>
      <w:r>
        <w:t xml:space="preserve">The Adaptive Oversight Calibration Model (AOCM) advances prior frameworks by operationalizing meaningful oversight as a continuous, context-sensitive function rather than a binary or static design choice</w:t>
      </w:r>
      <w:r>
        <w:t xml:space="preserve"> </w:t>
      </w:r>
      <w:hyperlink w:anchor="ref-simeon2026">
        <w:r>
          <w:rPr>
            <w:rStyle w:val="Hyperlink"/>
          </w:rPr>
          <w:t xml:space="preserve">[24]</w:t>
        </w:r>
      </w:hyperlink>
      <w:r>
        <w:t xml:space="preserve">. This sector-agnostic framework comprises six formal propositions relating task criticality, AI competency boundaries, human cognitive capacity, institutional constraints, trust dynamics, and feedback loops to optimal oversight configurations. Empirical research across eight high-stakes sectors—healthcare, criminal justice, financial services, autonomous transportation, education, manufacturing, content moderation, and human resources—reveals recurring tensions including explainability-performance tradeoffs, autonomy-accountability gaps, over-trust/under-trust dualities, and participation-effectiveness paradoxes.</w:t>
      </w:r>
    </w:p>
    <w:p>
      <w:pPr>
        <w:pStyle w:val="BodyText"/>
      </w:pPr>
      <w:r>
        <w:t xml:space="preserve">The TRACE Framework (Trust, Review, Accountability, Critique, Explainability) embeds governance anchors at the agent level, enforces data privacy and policy checks, supplies dedicated Critic agents for meta-validation, and preserves human-in-the-loop oversight</w:t>
      </w:r>
      <w:r>
        <w:t xml:space="preserve"> </w:t>
      </w:r>
      <w:hyperlink w:anchor="ref-dr2026">
        <w:r>
          <w:rPr>
            <w:rStyle w:val="Hyperlink"/>
          </w:rPr>
          <w:t xml:space="preserve">[25]</w:t>
        </w:r>
      </w:hyperlink>
      <w:r>
        <w:t xml:space="preserve">. Formal scoring rubrics spanning agent operational metrics, critic checks, and aggregation rules yield an Overall System Confidence score driving automated actions, human escalation, and continuous learning. Governance and Compliance Indicators, Agentic Performance Metrics, and Assurance Indicators enable financial institutions and regulated organizations to deploy multi-agent systems that are efficient, auditable, and compliant.</w:t>
      </w:r>
    </w:p>
    <w:p>
      <w:pPr>
        <w:pStyle w:val="BodyText"/>
      </w:pPr>
      <w:r>
        <w:t xml:space="preserve">Human-in-the-loop governance in high-stakes domains requires structured human review alongside AI assistance. Explainable AI tools combined with comprehensive human validation enable pharmaceutical validation systems to achieve 32% cycle-time reductions while improving inter-rater agreement from κ=0.71 to κ=0.85, all under defined governance models including model-risk tiering, quarterly challenge testing, and inspection-ready evidence packs</w:t>
      </w:r>
      <w:r>
        <w:t xml:space="preserve"> </w:t>
      </w:r>
      <w:hyperlink w:anchor="ref-manali2026">
        <w:r>
          <w:rPr>
            <w:rStyle w:val="Hyperlink"/>
          </w:rPr>
          <w:t xml:space="preserve">[26]</w:t>
        </w:r>
      </w:hyperlink>
      <w:r>
        <w:t xml:space="preserve">.</w:t>
      </w:r>
    </w:p>
    <w:p>
      <w:pPr>
        <w:pStyle w:val="Heading3"/>
      </w:pPr>
      <w:r>
        <w:t xml:space="preserve">Explainability and Interpretability</w:t>
      </w:r>
    </w:p>
    <w:p>
      <w:pPr>
        <w:pStyle w:val="FirstParagraph"/>
      </w:pPr>
      <w:r>
        <w:t xml:space="preserve">Explainability emerges as a foundational strategic asset rather than an optional technical feature. Modern frameworks integrate intrinsic interpretability mechanisms, post-hoc explanation techniques, and uncertainty-aware reasoning to provide transparent model behavior at global and local decision levels</w:t>
      </w:r>
      <w:r>
        <w:t xml:space="preserve"> </w:t>
      </w:r>
      <w:hyperlink w:anchor="ref-dr2026a">
        <w:r>
          <w:rPr>
            <w:rStyle w:val="Hyperlink"/>
          </w:rPr>
          <w:t xml:space="preserve">[27]</w:t>
        </w:r>
      </w:hyperlink>
      <w:r>
        <w:t xml:space="preserve">. Trustworthiness is strengthened through bias detection, fairness auditing, robustness evaluation, and human-in-the-loop validation, with governance-oriented components ensuring ethical compliance, auditability, and regulatory alignment.</w:t>
      </w:r>
    </w:p>
    <w:p>
      <w:pPr>
        <w:pStyle w:val="BodyText"/>
      </w:pPr>
      <w:r>
        <w:t xml:space="preserve">SHAP and LIME-based explainability techniques, when integrated with human governance frameworks, demonstrate measurable benefits. Experimental results show that XAI substantially enhances decision quality with LIME increasing accuracy by 12.1% and SHAP by 14.8% compared to systems without explanation mechanisms</w:t>
      </w:r>
      <w:r>
        <w:t xml:space="preserve"> </w:t>
      </w:r>
      <w:hyperlink w:anchor="ref-s2026">
        <w:r>
          <w:rPr>
            <w:rStyle w:val="Hyperlink"/>
          </w:rPr>
          <w:t xml:space="preserve">[28]</w:t>
        </w:r>
      </w:hyperlink>
      <w:r>
        <w:t xml:space="preserve">. SHAP demonstrates superior accuracy and managerial confidence, and when systems become explained, trust rises significantly while decision quality improves.</w:t>
      </w:r>
    </w:p>
    <w:p>
      <w:pPr>
        <w:pStyle w:val="BodyText"/>
      </w:pPr>
      <w:r>
        <w:t xml:space="preserve">Post-hoc explainability mechanisms including SHAP, LIME, and Grad-CAM provide human-readable explanations for agent outputs. In water resource management applications, these techniques demonstrate 21% improvement in forecast accuracy and 34% reduction in false alarms compared to opaque baselines</w:t>
      </w:r>
      <w:r>
        <w:t xml:space="preserve"> </w:t>
      </w:r>
      <w:hyperlink w:anchor="ref-ajai2026">
        <w:r>
          <w:rPr>
            <w:rStyle w:val="Hyperlink"/>
          </w:rPr>
          <w:t xml:space="preserve">[29]</w:t>
        </w:r>
      </w:hyperlink>
      <w:r>
        <w:t xml:space="preserve">. Human-in-the-loop reinforcement mechanisms enable domain experts to refine model outputs, fostering continuous performance improvement and institutional trust.</w:t>
      </w:r>
    </w:p>
    <w:p>
      <w:pPr>
        <w:pStyle w:val="Heading3"/>
      </w:pPr>
      <w:r>
        <w:t xml:space="preserve">Trust Calibration and Accountability</w:t>
      </w:r>
    </w:p>
    <w:p>
      <w:pPr>
        <w:pStyle w:val="FirstParagraph"/>
      </w:pPr>
      <w:r>
        <w:t xml:space="preserve">Trust calibration requires balancing operational efficiency with institutional accountability. Speed-quality tradeoffs inherent in AI-driven decision-making introduce substantial risks to accuracy, fairness, and safety</w:t>
      </w:r>
      <w:r>
        <w:t xml:space="preserve"> </w:t>
      </w:r>
      <w:hyperlink w:anchor="ref-partha2025">
        <w:r>
          <w:rPr>
            <w:rStyle w:val="Hyperlink"/>
          </w:rPr>
          <w:t xml:space="preserve">[30]</w:t>
        </w:r>
      </w:hyperlink>
      <w:r>
        <w:t xml:space="preserve">. Technical approaches including Explainable AI and Fairness-Aware Machine Learning, combined with procedural safeguards like Human-in-the-Loop oversight and robust validation protocols, provide mitigation frameworks. However, these strategies require attention to the accuracy-interpretability tradeoff in XAI and challenges in human-AI trust calibration.</w:t>
      </w:r>
    </w:p>
    <w:p>
      <w:pPr>
        <w:pStyle w:val="BodyText"/>
      </w:pPr>
      <w:r>
        <w:t xml:space="preserve">Responsible AI frameworks position explainability as enabling operational accountability rather than replacing human judgment. Autonomous AI agents in enterprise CRM platforms employ bounded autonomy models that calibrate agent operational latitude through dynamic trust scoring and risk-based escalation mechanisms</w:t>
      </w:r>
      <w:r>
        <w:t xml:space="preserve"> </w:t>
      </w:r>
      <w:hyperlink w:anchor="ref-aditya2026">
        <w:r>
          <w:rPr>
            <w:rStyle w:val="Hyperlink"/>
          </w:rPr>
          <w:t xml:space="preserve">[31]</w:t>
        </w:r>
      </w:hyperlink>
      <w:r>
        <w:t xml:space="preserve">. This enables organizations to balance autonomous efficiency with institutional accountability through embedding governance components including explainability logging, prompt versioning, and compliance-aware data access controls.</w:t>
      </w:r>
    </w:p>
    <w:p>
      <w:pPr>
        <w:pStyle w:val="BodyText"/>
      </w:pPr>
      <w:r>
        <w:t xml:space="preserve">Trustworthy AI frameworks establish identity, accountability, and ethical alignment through decentralized protocols. The LOKA Protocol proposes Universal Agent Identity Layers, intent-centric communication protocols, and Decentralized Ethical Consensus Protocols grounded in emerging standards including Decentralized Identifiers and post-quantum cryptography</w:t>
      </w:r>
      <w:r>
        <w:t xml:space="preserve"> </w:t>
      </w:r>
      <w:hyperlink w:anchor="ref-rajesh2025">
        <w:r>
          <w:rPr>
            <w:rStyle w:val="Hyperlink"/>
          </w:rPr>
          <w:t xml:space="preserve">[32]</w:t>
        </w:r>
      </w:hyperlink>
      <w:r>
        <w:t xml:space="preserve">. By embedding identity, trust, and ethics into protocol layers themselves, these frameworks establish foundations for responsible, transparent, and autonomous AI ecosystems.</w:t>
      </w:r>
    </w:p>
    <w:p>
      <w:pPr>
        <w:pStyle w:val="Heading3"/>
      </w:pPr>
      <w:r>
        <w:t xml:space="preserve">Regulatory Compliance and Policy Alignment</w:t>
      </w:r>
    </w:p>
    <w:p>
      <w:pPr>
        <w:pStyle w:val="FirstParagraph"/>
      </w:pPr>
      <w:r>
        <w:t xml:space="preserve">Enterprise AI governance must align with evolving regulatory frameworks including the EU AI Act, NIST AI Risk Management Framework, and sector-specific regulations such as GDPR and HIPAA. Safe and Policy-Compliant Multi-Agent Orchestration (CAMCO) introduces a runtime coordination layer modeling multi-agent decision-making as constrained optimization problems</w:t>
      </w:r>
      <w:r>
        <w:t xml:space="preserve"> </w:t>
      </w:r>
      <w:hyperlink w:anchor="ref-vinil2026">
        <w:r>
          <w:rPr>
            <w:rStyle w:val="Hyperlink"/>
          </w:rPr>
          <w:t xml:space="preserve">[33]</w:t>
        </w:r>
      </w:hyperlink>
      <w:r>
        <w:t xml:space="preserve">. This framework integrates constraint projection engines enforcing policy-feasible actions, adaptive risk-weighted Lagrangian utility shaping, and iterative negotiation protocols, demonstrating zero policy violations, risk exposure below threshold (mean ratio 0.71), 92-97% utility retention, and mean convergence in 2.4 iterations.</w:t>
      </w:r>
    </w:p>
    <w:p>
      <w:pPr>
        <w:pStyle w:val="BodyText"/>
      </w:pPr>
      <w:r>
        <w:t xml:space="preserve">Policy-driven orchestration frameworks systematically enforce compliance constraints throughout agent execution. Multi-Agent Orchestration Protocols embed jurisdictional rules, access controls, and auditability into every agent interaction through central orchestrators consulting Agent Registries and Policy Engines</w:t>
      </w:r>
      <w:r>
        <w:t xml:space="preserve"> </w:t>
      </w:r>
      <w:hyperlink w:anchor="ref-varsha2025">
        <w:r>
          <w:rPr>
            <w:rStyle w:val="Hyperlink"/>
          </w:rPr>
          <w:t xml:space="preserve">[34]</w:t>
        </w:r>
      </w:hyperlink>
      <w:r>
        <w:t xml:space="preserve">. Tamper-evident audit logs capture every decision for post-hoc review, ensuring sensitive data never crosses prohibited boundaries and every step remains traceable.</w:t>
      </w:r>
    </w:p>
    <w:p>
      <w:pPr>
        <w:pStyle w:val="Heading2"/>
      </w:pPr>
      <w:r>
        <w:t xml:space="preserve">VI. Safety, Red-Teaming, and Strategic Evaluation</w:t>
      </w:r>
    </w:p>
    <w:p>
      <w:pPr>
        <w:pStyle w:val="Heading3"/>
      </w:pPr>
      <w:r>
        <w:t xml:space="preserve">Red-Team Evaluation Methodologies</w:t>
      </w:r>
    </w:p>
    <w:p>
      <w:pPr>
        <w:pStyle w:val="FirstParagraph"/>
      </w:pPr>
      <w:r>
        <w:t xml:space="preserve">Red-teaming agentic AI systems requires moving beyond traditional content moderation toward action security as modern systems gain persistent state, tool access, and autonomous control loops. AJAR (Adaptive Jailbreak Architecture for Red-teaming) exposes multi-turn jailbreak algorithms as callable Model Context Protocol services orchestrated within tool-aware runtimes</w:t>
      </w:r>
      <w:r>
        <w:t xml:space="preserve"> </w:t>
      </w:r>
      <w:hyperlink w:anchor="ref-yipu2026">
        <w:r>
          <w:rPr>
            <w:rStyle w:val="Hyperlink"/>
          </w:rPr>
          <w:t xml:space="preserve">[35]</w:t>
        </w:r>
      </w:hyperlink>
      <w:r>
        <w:t xml:space="preserve">. By integrating Crescendo, ActorAttack, and X-Teaming attacks under shared service interfaces, AJAR improves X-Teaming attack success rates from 65.0% to 76.0%, reaches 80% cumulative success one turn earlier than native implementations, and reproduces Crescendo more effectively than PyRIT (91.0% vs. 87.5%).</w:t>
      </w:r>
    </w:p>
    <w:p>
      <w:pPr>
        <w:pStyle w:val="BodyText"/>
      </w:pPr>
      <w:r>
        <w:t xml:space="preserve">RedTWIZ presents a comprehensive multi-turn red-teaming framework combining robust assessment of conversational jailbreaks, diverse generative attack suites supporting compositional strategies, and hierarchical attack planners adaptively selecting vulnerabilities</w:t>
      </w:r>
      <w:r>
        <w:t xml:space="preserve"> </w:t>
      </w:r>
      <w:hyperlink w:anchor="ref-artur2025">
        <w:r>
          <w:rPr>
            <w:rStyle w:val="Hyperlink"/>
          </w:rPr>
          <w:t xml:space="preserve">[36]</w:t>
        </w:r>
      </w:hyperlink>
      <w:r>
        <w:t xml:space="preserve">. These frameworks systematically expose LLM weaknesses while informing development of next-generation defensive systems capable of resilient operation in adversarial environments.</w:t>
      </w:r>
    </w:p>
    <w:p>
      <w:pPr>
        <w:pStyle w:val="Heading3"/>
      </w:pPr>
      <w:r>
        <w:t xml:space="preserve">Hallucination Detection and Mitigation</w:t>
      </w:r>
    </w:p>
    <w:p>
      <w:pPr>
        <w:pStyle w:val="FirstParagraph"/>
      </w:pPr>
      <w:r>
        <w:t xml:space="preserve">Hallucinations—where agents fabricate information and propagate false outputs through multi-agent systems—represent critical vulnerabilities in autonomous systems. Trustworthy Agentic AI introduces a seven-layer trust taxonomy spanning identity, planning, communication, memory, retrieval, execution, and oversight</w:t>
      </w:r>
      <w:r>
        <w:t xml:space="preserve"> </w:t>
      </w:r>
      <w:hyperlink w:anchor="ref-tharakesvulu2026">
        <w:r>
          <w:rPr>
            <w:rStyle w:val="Hyperlink"/>
          </w:rPr>
          <w:t xml:space="preserve">[37]</w:t>
        </w:r>
      </w:hyperlink>
      <w:r>
        <w:t xml:space="preserve">. This taxonomy derives six reusable secure-coordination design patterns and proposes model-agnostic reference architectures for auditable, policy-enforced agentic workflows, addressing hallucination propagation across agent boundaries.</w:t>
      </w:r>
    </w:p>
    <w:p>
      <w:pPr>
        <w:pStyle w:val="BodyText"/>
      </w:pPr>
      <w:r>
        <w:t xml:space="preserve">Hallucination mitigation in agentic systems requires multi-level control. The SAFE-AI Framework emphasizes Safety, Auditability, Feedback, and Explainability through guardrails, sandboxing, runtime verification, risk-aware logging, human-in-the-loop systems, and explainable AI techniques</w:t>
      </w:r>
      <w:r>
        <w:t xml:space="preserve"> </w:t>
      </w:r>
      <w:hyperlink w:anchor="ref-satyam2025">
        <w:r>
          <w:rPr>
            <w:rStyle w:val="Hyperlink"/>
          </w:rPr>
          <w:t xml:space="preserve">[38]</w:t>
        </w:r>
      </w:hyperlink>
      <w:r>
        <w:t xml:space="preserve">. By introducing taxonomies of AI behaviors categorizing suggestive, generative, autonomous, and destructive actions, organizations can tailor risk assessment and oversight mechanisms.</w:t>
      </w:r>
    </w:p>
    <w:p>
      <w:pPr>
        <w:pStyle w:val="Heading3"/>
      </w:pPr>
      <w:r>
        <w:t xml:space="preserve">Adversarial Testing and Robustness Evaluation</w:t>
      </w:r>
    </w:p>
    <w:p>
      <w:pPr>
        <w:pStyle w:val="FirstParagraph"/>
      </w:pPr>
      <w:r>
        <w:t xml:space="preserve">Comprehensive evaluation frameworks assess agentic systems across quantitative and qualitative dimensions. Quantitative metrics include task completion rates, accuracy, efficiency, and performance against benchmark datasets such as GAIA, AssistantBench, and WebArena</w:t>
      </w:r>
      <w:r>
        <w:t xml:space="preserve"> </w:t>
      </w:r>
      <w:hyperlink w:anchor="ref-adam2024">
        <w:r>
          <w:rPr>
            <w:rStyle w:val="Hyperlink"/>
          </w:rPr>
          <w:t xml:space="preserve">[39]</w:t>
        </w:r>
      </w:hyperlink>
      <w:r>
        <w:t xml:space="preserve">. Qualitative evaluation involves expert assessment, interpretability analysis, and behavioral robustness testing across diverse scenarios.</w:t>
      </w:r>
    </w:p>
    <w:p>
      <w:pPr>
        <w:pStyle w:val="BodyText"/>
      </w:pPr>
      <w:r>
        <w:t xml:space="preserve">Biothreat Benchmark Generation frameworks develop systematic evaluation approaches for frontier AI models. The process involves web-based prompt generation, red teaming, and mining existing benchmarks to generate comprehensive test suites addressing specific threat domains</w:t>
      </w:r>
      <w:r>
        <w:t xml:space="preserve"> </w:t>
      </w:r>
      <w:hyperlink w:anchor="ref-gary2025">
        <w:r>
          <w:rPr>
            <w:rStyle w:val="Hyperlink"/>
          </w:rPr>
          <w:t xml:space="preserve">[40]</w:t>
        </w:r>
      </w:hyperlink>
      <w:r>
        <w:t xml:space="preserve">. By ensuring benchmarks are diagnostic, domain-relevant, and aligned with threat architectures, organizations can quantify model risks and guide development toward safer systems.</w:t>
      </w:r>
    </w:p>
    <w:p>
      <w:pPr>
        <w:pStyle w:val="BodyText"/>
      </w:pPr>
      <w:r>
        <w:t xml:space="preserve">Wargaming and scenario-based testing enable strategic evaluation of agent decision-making under uncertainty. Deep reinforcement learning agents trained in wargaming frameworks demonstrate credible behavior representing realistic operational dynamics</w:t>
      </w:r>
      <w:r>
        <w:t xml:space="preserve"> </w:t>
      </w:r>
      <w:hyperlink w:anchor="ref-c2024">
        <w:r>
          <w:rPr>
            <w:rStyle w:val="Hyperlink"/>
          </w:rPr>
          <w:t xml:space="preserve">[41]</w:t>
        </w:r>
      </w:hyperlink>
      <w:r>
        <w:t xml:space="preserve">. By analyzing agent interactions across multi-domain contexts, evaluators can identify capability gaps, emergent behaviors, and strategic vulnerabilities informing system hardening.</w:t>
      </w:r>
    </w:p>
    <w:p>
      <w:r>
        <w:pict>
          <v:rect style="width:0;height:1.5pt" o:hralign="center" o:hrstd="t" o:hr="t"/>
        </w:pict>
      </w:r>
    </w:p>
    <w:p>
      <w:pPr>
        <w:pStyle w:val="Heading2"/>
      </w:pPr>
      <w:r>
        <w:t xml:space="preserve">Conclusion and Future Directions</w:t>
      </w:r>
    </w:p>
    <w:p>
      <w:pPr>
        <w:pStyle w:val="FirstParagraph"/>
      </w:pPr>
      <w:r>
        <w:t xml:space="preserve">Agentic Enterprise Intelligence represents a transformative paradigm for autonomous decision-making across complex business environments. By integrating sophisticated planning mechanisms, multi-agent coordination, tool orchestration, and human governance frameworks, organizations can deploy autonomous systems that balance operational efficiency with institutional accountability. The convergence of large language models, reinforcement learning, and multi-agent architectures creates unprecedented capabilities for strategic planning, risk management, and adaptive decision-making.</w:t>
      </w:r>
    </w:p>
    <w:p>
      <w:pPr>
        <w:pStyle w:val="BodyText"/>
      </w:pPr>
      <w:r>
        <w:t xml:space="preserve">However, successful deployment requires rigorous governance maturity, explainability mechanisms, trust calibration, and comprehensive safety evaluation. The AAGMM, TRACE, and similar frameworks demonstrate how structured governance enables Level 4-5 organizations to achieve 94% lower agent sprawl, 96% fewer risk incidents, and 32% higher task completion rates compared to ungovernerd deployments. Future research must address standardization of agentic architectures, cross-domain evaluation benchmarks, ethical pluralism in multi-stakeholder settings, and mechanisms for preventing emergent adversarial behaviors at scale.</w:t>
      </w:r>
    </w:p>
    <w:p>
      <w:pPr>
        <w:pStyle w:val="BodyText"/>
      </w:pPr>
      <w:r>
        <w:t xml:space="preserve">The field stands at an inflection point where agentic AI adoption will accelerate substantially, requiring immediate attention to governance, transparency, and human-centered design. Organizations that establish mature governance frameworks, invest in explainability infrastructure, and maintain human-in-the-loop oversight will realize transformative value while managing systemic risks effectively. As agentic systems become increasingly capable and widely deployed, the integration of ethical principles, regulatory compliance, and human agency into system design represents not merely a compliance requirement but a strategic imperative for building trustworthy, resilient, and socially responsible AI ecosystems.</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P. Mhetre, Dr. R. A. Jamadar, P. Kuldharan, and P. Khatke,</w:t>
      </w:r>
      <w:r>
        <w:t xml:space="preserve"> </w:t>
      </w:r>
      <w:r>
        <w:t xml:space="preserve">“Autonomous operations &amp; agentic AI: Intelligent self-directed systems,”</w:t>
      </w:r>
      <w:r>
        <w:t xml:space="preserve"> </w:t>
      </w:r>
      <w:r>
        <w:rPr>
          <w:i/>
          <w:iCs/>
        </w:rPr>
        <w:t xml:space="preserve">INTERNATIONAL JOURNAL OF SCIENTIFIC RESEARCH IN ENGINEERING AND MANAGEMENT</w:t>
      </w:r>
      <w:r>
        <w:t xml:space="preserve">, Apr. 2026, doi:</w:t>
      </w:r>
      <w:r>
        <w:t xml:space="preserve"> </w:t>
      </w:r>
      <w:hyperlink r:id="rId9">
        <w:r>
          <w:rPr>
            <w:rStyle w:val="Hyperlink"/>
          </w:rPr>
          <w:t xml:space="preserve">10.55041/ijsrem61088</w:t>
        </w:r>
      </w:hyperlink>
      <w:r>
        <w:t xml:space="preserve">.</w:t>
      </w:r>
    </w:p>
    <w:p>
      <w:pPr>
        <w:pStyle w:val="BodyText"/>
      </w:pPr>
      <w:r>
        <w:t xml:space="preserve">[2]</w:t>
      </w:r>
      <w:r>
        <w:t xml:space="preserve"> </w:t>
      </w:r>
      <w:r>
        <w:t xml:space="preserve">	</w:t>
      </w:r>
      <w:r>
        <w:t xml:space="preserve">M. Alenezi,</w:t>
      </w:r>
      <w:r>
        <w:t xml:space="preserve"> </w:t>
      </w:r>
      <w:r>
        <w:t xml:space="preserve">“From prompt-response to goal-directed systems: The evolution of agentic AI software architecture,”</w:t>
      </w:r>
      <w:r>
        <w:t xml:space="preserve"> </w:t>
      </w:r>
      <w:r>
        <w:rPr>
          <w:i/>
          <w:iCs/>
        </w:rPr>
        <w:t xml:space="preserve">arXiv.org</w:t>
      </w:r>
      <w:r>
        <w:t xml:space="preserve">, Feb. 2026, doi:</w:t>
      </w:r>
      <w:r>
        <w:t xml:space="preserve"> </w:t>
      </w:r>
      <w:hyperlink r:id="rId10">
        <w:r>
          <w:rPr>
            <w:rStyle w:val="Hyperlink"/>
          </w:rPr>
          <w:t xml:space="preserve">10.48550/arXiv.2602.10479</w:t>
        </w:r>
      </w:hyperlink>
      <w:r>
        <w:t xml:space="preserve">.</w:t>
      </w:r>
    </w:p>
    <w:p>
      <w:pPr>
        <w:pStyle w:val="BodyText"/>
      </w:pPr>
      <w:r>
        <w:t xml:space="preserve">[3]</w:t>
      </w:r>
      <w:r>
        <w:t xml:space="preserve"> </w:t>
      </w:r>
      <w:r>
        <w:t xml:space="preserve">	</w:t>
      </w:r>
      <w:r>
        <w:t xml:space="preserve">D. Sharan and Nehuti,</w:t>
      </w:r>
      <w:r>
        <w:t xml:space="preserve"> </w:t>
      </w:r>
      <w:r>
        <w:t xml:space="preserve">“Large language models and agentic AI: How modern AI systems are evolving into autonomous agents,”</w:t>
      </w:r>
      <w:r>
        <w:t xml:space="preserve"> </w:t>
      </w:r>
      <w:r>
        <w:rPr>
          <w:i/>
          <w:iCs/>
        </w:rPr>
        <w:t xml:space="preserve">IITM Journal of Information Technology</w:t>
      </w:r>
      <w:r>
        <w:t xml:space="preserve">, 2026, doi:</w:t>
      </w:r>
      <w:r>
        <w:t xml:space="preserve"> </w:t>
      </w:r>
      <w:hyperlink r:id="rId11">
        <w:r>
          <w:rPr>
            <w:rStyle w:val="Hyperlink"/>
          </w:rPr>
          <w:t xml:space="preserve">10.48165/iitmjit.2026.12.1.14</w:t>
        </w:r>
      </w:hyperlink>
      <w:r>
        <w:t xml:space="preserve">.</w:t>
      </w:r>
    </w:p>
    <w:p>
      <w:pPr>
        <w:pStyle w:val="BodyText"/>
      </w:pPr>
      <w:r>
        <w:t xml:space="preserve">[4]</w:t>
      </w:r>
      <w:r>
        <w:t xml:space="preserve"> </w:t>
      </w:r>
      <w:r>
        <w:t xml:space="preserve">	</w:t>
      </w:r>
      <w:r>
        <w:t xml:space="preserve">V. Arunkumar, G. G. R., and R. Buyya,</w:t>
      </w:r>
      <w:r>
        <w:t xml:space="preserve"> </w:t>
      </w:r>
      <w:r>
        <w:t xml:space="preserve">“Agentic artificial intelligence (AI): Architectures, taxonomies, and evaluation of large language model agents,”</w:t>
      </w:r>
      <w:r>
        <w:t xml:space="preserve"> </w:t>
      </w:r>
      <w:r>
        <w:rPr>
          <w:i/>
          <w:iCs/>
        </w:rPr>
        <w:t xml:space="preserve">arXiv.org</w:t>
      </w:r>
      <w:r>
        <w:t xml:space="preserve">, Jan. 2026, doi:</w:t>
      </w:r>
      <w:r>
        <w:t xml:space="preserve"> </w:t>
      </w:r>
      <w:hyperlink r:id="rId12">
        <w:r>
          <w:rPr>
            <w:rStyle w:val="Hyperlink"/>
          </w:rPr>
          <w:t xml:space="preserve">10.48550/arXiv.2601.12560</w:t>
        </w:r>
      </w:hyperlink>
      <w:r>
        <w:t xml:space="preserve">.</w:t>
      </w:r>
    </w:p>
    <w:p>
      <w:pPr>
        <w:pStyle w:val="BodyText"/>
      </w:pPr>
      <w:r>
        <w:t xml:space="preserve">[5]</w:t>
      </w:r>
      <w:r>
        <w:t xml:space="preserve"> </w:t>
      </w:r>
      <w:r>
        <w:t xml:space="preserve">	</w:t>
      </w:r>
      <w:r>
        <w:t xml:space="preserve">M. L. Romero and R. Suyama,</w:t>
      </w:r>
      <w:r>
        <w:t xml:space="preserve"> </w:t>
      </w:r>
      <w:r>
        <w:t xml:space="preserve">“Agentic AI for intent-based industrial automation,”</w:t>
      </w:r>
      <w:r>
        <w:t xml:space="preserve"> </w:t>
      </w:r>
      <w:r>
        <w:rPr>
          <w:i/>
          <w:iCs/>
        </w:rPr>
        <w:t xml:space="preserve">IEEE International Conference on Industry Applications</w:t>
      </w:r>
      <w:r>
        <w:t xml:space="preserve">, June 2025, doi:</w:t>
      </w:r>
      <w:r>
        <w:t xml:space="preserve"> </w:t>
      </w:r>
      <w:hyperlink r:id="rId13">
        <w:r>
          <w:rPr>
            <w:rStyle w:val="Hyperlink"/>
          </w:rPr>
          <w:t xml:space="preserve">10.1109/INDUSCON66435.2025.11241317</w:t>
        </w:r>
      </w:hyperlink>
      <w:r>
        <w:t xml:space="preserve">.</w:t>
      </w:r>
    </w:p>
    <w:p>
      <w:pPr>
        <w:pStyle w:val="BodyText"/>
      </w:pPr>
      <w:r>
        <w:t xml:space="preserve">[6]</w:t>
      </w:r>
      <w:r>
        <w:t xml:space="preserve"> </w:t>
      </w:r>
      <w:r>
        <w:t xml:space="preserve">	</w:t>
      </w:r>
      <w:r>
        <w:t xml:space="preserve">T. Sumers, S. Yao, K. Narasimhan, and T. L. Griffiths,</w:t>
      </w:r>
      <w:r>
        <w:t xml:space="preserve"> </w:t>
      </w:r>
      <w:r>
        <w:t xml:space="preserve">“Cognitive architectures for language agents,”</w:t>
      </w:r>
      <w:r>
        <w:t xml:space="preserve"> </w:t>
      </w:r>
      <w:r>
        <w:rPr>
          <w:i/>
          <w:iCs/>
        </w:rPr>
        <w:t xml:space="preserve">Trans. Mach. Learn. Res.</w:t>
      </w:r>
      <w:r>
        <w:t xml:space="preserve">, Sept. 2023, doi:</w:t>
      </w:r>
      <w:r>
        <w:t xml:space="preserve"> </w:t>
      </w:r>
      <w:hyperlink r:id="rId14">
        <w:r>
          <w:rPr>
            <w:rStyle w:val="Hyperlink"/>
          </w:rPr>
          <w:t xml:space="preserve">10.48550/arXiv.2309.02427</w:t>
        </w:r>
      </w:hyperlink>
      <w:r>
        <w:t xml:space="preserve">.</w:t>
      </w:r>
    </w:p>
    <w:p>
      <w:pPr>
        <w:pStyle w:val="BodyText"/>
      </w:pPr>
      <w:r>
        <w:t xml:space="preserve">[7]</w:t>
      </w:r>
      <w:r>
        <w:t xml:space="preserve"> </w:t>
      </w:r>
      <w:r>
        <w:t xml:space="preserve">	</w:t>
      </w:r>
      <w:r>
        <w:t xml:space="preserve">N. Tanguturi and R. P. Kumar,</w:t>
      </w:r>
      <w:r>
        <w:t xml:space="preserve"> </w:t>
      </w:r>
      <w:r>
        <w:t xml:space="preserve">“Hierarchical agentic AI framework for autonomous task planning using large language model reasoning,”</w:t>
      </w:r>
      <w:r>
        <w:t xml:space="preserve"> </w:t>
      </w:r>
      <w:r>
        <w:rPr>
          <w:i/>
          <w:iCs/>
        </w:rPr>
        <w:t xml:space="preserve">International Journal of Innovative Research in Engineering &amp; Management</w:t>
      </w:r>
      <w:r>
        <w:t xml:space="preserve">, June 2026, doi:</w:t>
      </w:r>
      <w:r>
        <w:t xml:space="preserve"> </w:t>
      </w:r>
      <w:hyperlink r:id="rId15">
        <w:r>
          <w:rPr>
            <w:rStyle w:val="Hyperlink"/>
          </w:rPr>
          <w:t xml:space="preserve">10.55524/ijirem.2026.13.2.23</w:t>
        </w:r>
      </w:hyperlink>
      <w:r>
        <w:t xml:space="preserve">.</w:t>
      </w:r>
    </w:p>
    <w:p>
      <w:pPr>
        <w:pStyle w:val="BodyText"/>
      </w:pPr>
      <w:r>
        <w:t xml:space="preserve">[8]</w:t>
      </w:r>
      <w:r>
        <w:t xml:space="preserve"> </w:t>
      </w:r>
      <w:r>
        <w:t xml:space="preserve">	</w:t>
      </w:r>
      <w:r>
        <w:t xml:space="preserve">G.-M. Zhang, M. Fu, G. Wan, M. Yu, K. Wang, and S. Yan,</w:t>
      </w:r>
      <w:r>
        <w:t xml:space="preserve"> </w:t>
      </w:r>
      <w:r>
        <w:t xml:space="preserve">“G-memory: Tracing hierarchical memory for multi-agent systems,”</w:t>
      </w:r>
      <w:r>
        <w:t xml:space="preserve"> </w:t>
      </w:r>
      <w:r>
        <w:rPr>
          <w:i/>
          <w:iCs/>
        </w:rPr>
        <w:t xml:space="preserve">arXiv.org</w:t>
      </w:r>
      <w:r>
        <w:t xml:space="preserve">, June 2025, doi:</w:t>
      </w:r>
      <w:r>
        <w:t xml:space="preserve"> </w:t>
      </w:r>
      <w:hyperlink r:id="rId16">
        <w:r>
          <w:rPr>
            <w:rStyle w:val="Hyperlink"/>
          </w:rPr>
          <w:t xml:space="preserve">10.48550/arXiv.2506.07398</w:t>
        </w:r>
      </w:hyperlink>
      <w:r>
        <w:t xml:space="preserve">.</w:t>
      </w:r>
    </w:p>
    <w:p>
      <w:pPr>
        <w:pStyle w:val="BodyText"/>
      </w:pPr>
      <w:r>
        <w:t xml:space="preserve">[9]</w:t>
      </w:r>
      <w:r>
        <w:t xml:space="preserve"> </w:t>
      </w:r>
      <w:r>
        <w:t xml:space="preserve">	</w:t>
      </w:r>
      <w:r>
        <w:t xml:space="preserve">T. Händler,</w:t>
      </w:r>
      <w:r>
        <w:t xml:space="preserve"> </w:t>
      </w:r>
      <w:r>
        <w:t xml:space="preserve">“Balancing autonomy and alignment: A multi-dimensional taxonomy for autonomous LLM-powered multi-agent architectures,”</w:t>
      </w:r>
      <w:r>
        <w:t xml:space="preserve"> </w:t>
      </w:r>
      <w:r>
        <w:rPr>
          <w:i/>
          <w:iCs/>
        </w:rPr>
        <w:t xml:space="preserve">arXiv.org</w:t>
      </w:r>
      <w:r>
        <w:t xml:space="preserve">, Oct. 2023, doi:</w:t>
      </w:r>
      <w:r>
        <w:t xml:space="preserve"> </w:t>
      </w:r>
      <w:hyperlink r:id="rId17">
        <w:r>
          <w:rPr>
            <w:rStyle w:val="Hyperlink"/>
          </w:rPr>
          <w:t xml:space="preserve">10.48550/arXiv.2310.03659</w:t>
        </w:r>
      </w:hyperlink>
      <w:r>
        <w:t xml:space="preserve">.</w:t>
      </w:r>
    </w:p>
    <w:p>
      <w:pPr>
        <w:pStyle w:val="BodyText"/>
      </w:pPr>
      <w:r>
        <w:t xml:space="preserve">[10]</w:t>
      </w:r>
      <w:r>
        <w:t xml:space="preserve"> </w:t>
      </w:r>
      <w:r>
        <w:t xml:space="preserve">	</w:t>
      </w:r>
      <w:r>
        <w:t xml:space="preserve">A. Singh, A. Ehtesham, S. Kumar, and T. T. Khoei,</w:t>
      </w:r>
      <w:r>
        <w:t xml:space="preserve"> </w:t>
      </w:r>
      <w:r>
        <w:t xml:space="preserve">“Agentic retrieval-augmented generation: A survey on agentic RAG,”</w:t>
      </w:r>
      <w:r>
        <w:t xml:space="preserve"> </w:t>
      </w:r>
      <w:r>
        <w:rPr>
          <w:i/>
          <w:iCs/>
        </w:rPr>
        <w:t xml:space="preserve">arXiv.org</w:t>
      </w:r>
      <w:r>
        <w:t xml:space="preserve">, Jan. 2025, doi:</w:t>
      </w:r>
      <w:r>
        <w:t xml:space="preserve"> </w:t>
      </w:r>
      <w:hyperlink r:id="rId18">
        <w:r>
          <w:rPr>
            <w:rStyle w:val="Hyperlink"/>
          </w:rPr>
          <w:t xml:space="preserve">10.48550/arXiv.2501.09136</w:t>
        </w:r>
      </w:hyperlink>
      <w:r>
        <w:t xml:space="preserve">.</w:t>
      </w:r>
    </w:p>
    <w:p>
      <w:pPr>
        <w:pStyle w:val="BodyText"/>
      </w:pPr>
      <w:r>
        <w:t xml:space="preserve">[11]</w:t>
      </w:r>
      <w:r>
        <w:t xml:space="preserve"> </w:t>
      </w:r>
      <w:r>
        <w:t xml:space="preserve">	</w:t>
      </w:r>
      <w:r>
        <w:t xml:space="preserve">X. Song, Z. Wang, S. Wu, T. Shi, and L. Ai,</w:t>
      </w:r>
      <w:r>
        <w:t xml:space="preserve"> </w:t>
      </w:r>
      <w:r>
        <w:t xml:space="preserve">“Gradientsys: A multi-agent LLM scheduler with ReAct orchestration,”</w:t>
      </w:r>
      <w:r>
        <w:t xml:space="preserve"> </w:t>
      </w:r>
      <w:r>
        <w:rPr>
          <w:i/>
          <w:iCs/>
        </w:rPr>
        <w:t xml:space="preserve">arXiv.org</w:t>
      </w:r>
      <w:r>
        <w:t xml:space="preserve">, July 2025, doi:</w:t>
      </w:r>
      <w:r>
        <w:t xml:space="preserve"> </w:t>
      </w:r>
      <w:hyperlink r:id="rId19">
        <w:r>
          <w:rPr>
            <w:rStyle w:val="Hyperlink"/>
          </w:rPr>
          <w:t xml:space="preserve">10.48550/arXiv.2507.06520</w:t>
        </w:r>
      </w:hyperlink>
      <w:r>
        <w:t xml:space="preserve">.</w:t>
      </w:r>
    </w:p>
    <w:p>
      <w:pPr>
        <w:pStyle w:val="BodyText"/>
      </w:pPr>
      <w:r>
        <w:t xml:space="preserve">[12]</w:t>
      </w:r>
      <w:r>
        <w:t xml:space="preserve"> </w:t>
      </w:r>
      <w:r>
        <w:t xml:space="preserve">	</w:t>
      </w:r>
      <w:r>
        <w:t xml:space="preserve">C. S. Ravi and R. R. Patlolla,</w:t>
      </w:r>
      <w:r>
        <w:t xml:space="preserve"> </w:t>
      </w:r>
      <w:r>
        <w:t xml:space="preserve">“Bridging the deterministic-cognitive gap: An MCP-based orchestration framework for transforming enterprise system APIs into agent-ready process architectures,”</w:t>
      </w:r>
      <w:r>
        <w:t xml:space="preserve"> </w:t>
      </w:r>
      <w:r>
        <w:rPr>
          <w:i/>
          <w:iCs/>
        </w:rPr>
        <w:t xml:space="preserve">International Journal of Advanced Research in Science, Communication and Technology</w:t>
      </w:r>
      <w:r>
        <w:t xml:space="preserve">, July 2025, doi:</w:t>
      </w:r>
      <w:r>
        <w:t xml:space="preserve"> </w:t>
      </w:r>
      <w:hyperlink r:id="rId20">
        <w:r>
          <w:rPr>
            <w:rStyle w:val="Hyperlink"/>
          </w:rPr>
          <w:t xml:space="preserve">10.48175/ijarsct-28493</w:t>
        </w:r>
      </w:hyperlink>
      <w:r>
        <w:t xml:space="preserve">.</w:t>
      </w:r>
    </w:p>
    <w:p>
      <w:pPr>
        <w:pStyle w:val="BodyText"/>
      </w:pPr>
      <w:r>
        <w:t xml:space="preserve">[13]</w:t>
      </w:r>
      <w:r>
        <w:t xml:space="preserve"> </w:t>
      </w:r>
      <w:r>
        <w:t xml:space="preserve">	</w:t>
      </w:r>
      <w:r>
        <w:t xml:space="preserve">A. M. Tan,</w:t>
      </w:r>
      <w:r>
        <w:t xml:space="preserve"> </w:t>
      </w:r>
      <w:r>
        <w:t xml:space="preserve">“Autonomous portfolio and derivatives risk management AI agents: Risk-aware reinforcement learning, multi-objective optimization, and explainable allocation decisions,”</w:t>
      </w:r>
      <w:r>
        <w:t xml:space="preserve"> </w:t>
      </w:r>
      <w:r>
        <w:rPr>
          <w:i/>
          <w:iCs/>
        </w:rPr>
        <w:t xml:space="preserve">Social Science Research Network</w:t>
      </w:r>
      <w:r>
        <w:t xml:space="preserve">, 2026, doi:</w:t>
      </w:r>
      <w:r>
        <w:t xml:space="preserve"> </w:t>
      </w:r>
      <w:hyperlink r:id="rId21">
        <w:r>
          <w:rPr>
            <w:rStyle w:val="Hyperlink"/>
          </w:rPr>
          <w:t xml:space="preserve">10.2139/ssrn.6310078</w:t>
        </w:r>
      </w:hyperlink>
      <w:r>
        <w:t xml:space="preserve">.</w:t>
      </w:r>
    </w:p>
    <w:p>
      <w:pPr>
        <w:pStyle w:val="BodyText"/>
      </w:pPr>
      <w:r>
        <w:t xml:space="preserve">[14]</w:t>
      </w:r>
      <w:r>
        <w:t xml:space="preserve"> </w:t>
      </w:r>
      <w:r>
        <w:t xml:space="preserve">	</w:t>
      </w:r>
      <w:r>
        <w:t xml:space="preserve">B. Zhang,</w:t>
      </w:r>
      <w:r>
        <w:t xml:space="preserve"> </w:t>
      </w:r>
      <w:r>
        <w:t xml:space="preserve">“Graph attention-based heterogeneous multi-agent deep reinforcement learning for adaptive portfolio optimization,”</w:t>
      </w:r>
      <w:r>
        <w:t xml:space="preserve"> </w:t>
      </w:r>
      <w:r>
        <w:rPr>
          <w:i/>
          <w:iCs/>
        </w:rPr>
        <w:t xml:space="preserve">Scientific Reports</w:t>
      </w:r>
      <w:r>
        <w:t xml:space="preserve">, Dec. 2025, doi:</w:t>
      </w:r>
      <w:r>
        <w:t xml:space="preserve"> </w:t>
      </w:r>
      <w:hyperlink r:id="rId22">
        <w:r>
          <w:rPr>
            <w:rStyle w:val="Hyperlink"/>
          </w:rPr>
          <w:t xml:space="preserve">10.1038/s41598-025-32408-w</w:t>
        </w:r>
      </w:hyperlink>
      <w:r>
        <w:t xml:space="preserve">.</w:t>
      </w:r>
    </w:p>
    <w:p>
      <w:pPr>
        <w:pStyle w:val="BodyText"/>
      </w:pPr>
      <w:r>
        <w:t xml:space="preserve">[15]</w:t>
      </w:r>
      <w:r>
        <w:t xml:space="preserve"> </w:t>
      </w:r>
      <w:r>
        <w:t xml:space="preserve">	</w:t>
      </w:r>
      <w:r>
        <w:t xml:space="preserve">R. Sun, Y. Xi, A. Stefanidis, Z. Jiang, and J. Su,</w:t>
      </w:r>
      <w:r>
        <w:t xml:space="preserve"> </w:t>
      </w:r>
      <w:r>
        <w:t xml:space="preserve">“A novel multi-agent dynamic portfolio optimization learning system based on hierarchical deep reinforcement learning,”</w:t>
      </w:r>
      <w:r>
        <w:t xml:space="preserve"> </w:t>
      </w:r>
      <w:r>
        <w:rPr>
          <w:i/>
          <w:iCs/>
        </w:rPr>
        <w:t xml:space="preserve">Complex &amp; Intelligent Systems</w:t>
      </w:r>
      <w:r>
        <w:t xml:space="preserve">, Jan. 2025, doi:</w:t>
      </w:r>
      <w:r>
        <w:t xml:space="preserve"> </w:t>
      </w:r>
      <w:hyperlink r:id="rId23">
        <w:r>
          <w:rPr>
            <w:rStyle w:val="Hyperlink"/>
          </w:rPr>
          <w:t xml:space="preserve">10.1007/s40747-025-01884-y</w:t>
        </w:r>
      </w:hyperlink>
      <w:r>
        <w:t xml:space="preserve">.</w:t>
      </w:r>
    </w:p>
    <w:p>
      <w:pPr>
        <w:pStyle w:val="BodyText"/>
      </w:pPr>
      <w:r>
        <w:t xml:space="preserve">[16]</w:t>
      </w:r>
      <w:r>
        <w:t xml:space="preserve"> </w:t>
      </w:r>
      <w:r>
        <w:t xml:space="preserve">	</w:t>
      </w:r>
      <w:r>
        <w:t xml:space="preserve">B. Enkhsaikhan and O. Jo,</w:t>
      </w:r>
      <w:r>
        <w:t xml:space="preserve"> </w:t>
      </w:r>
      <w:r>
        <w:t xml:space="preserve">“Risk-constrained reinforcement learning with augmented lagrangian multiplier for portfolio optimization,”</w:t>
      </w:r>
      <w:r>
        <w:t xml:space="preserve"> </w:t>
      </w:r>
      <w:r>
        <w:rPr>
          <w:i/>
          <w:iCs/>
        </w:rPr>
        <w:t xml:space="preserve">IEEE Transactions on Big Data</w:t>
      </w:r>
      <w:r>
        <w:t xml:space="preserve">, Oct. 2025, doi:</w:t>
      </w:r>
      <w:r>
        <w:t xml:space="preserve"> </w:t>
      </w:r>
      <w:hyperlink r:id="rId24">
        <w:r>
          <w:rPr>
            <w:rStyle w:val="Hyperlink"/>
          </w:rPr>
          <w:t xml:space="preserve">10.1109/TBDATA.2025.3533905</w:t>
        </w:r>
      </w:hyperlink>
      <w:r>
        <w:t xml:space="preserve">.</w:t>
      </w:r>
    </w:p>
    <w:p>
      <w:pPr>
        <w:pStyle w:val="BodyText"/>
      </w:pPr>
      <w:r>
        <w:t xml:space="preserve">[17]</w:t>
      </w:r>
      <w:r>
        <w:t xml:space="preserve"> </w:t>
      </w:r>
      <w:r>
        <w:t xml:space="preserve">	</w:t>
      </w:r>
      <w:r>
        <w:t xml:space="preserve">P. Venkiteela,</w:t>
      </w:r>
      <w:r>
        <w:t xml:space="preserve"> </w:t>
      </w:r>
      <w:r>
        <w:t xml:space="preserve">“An enterprise agentic architecture framework for agentic AI governance and scalable autonomy,”</w:t>
      </w:r>
      <w:r>
        <w:t xml:space="preserve"> </w:t>
      </w:r>
      <w:r>
        <w:rPr>
          <w:i/>
          <w:iCs/>
        </w:rPr>
        <w:t xml:space="preserve">Scientific Journal of Computer Science</w:t>
      </w:r>
      <w:r>
        <w:t xml:space="preserve">, Jan. 2026, doi:</w:t>
      </w:r>
      <w:r>
        <w:t xml:space="preserve"> </w:t>
      </w:r>
      <w:hyperlink r:id="rId25">
        <w:r>
          <w:rPr>
            <w:rStyle w:val="Hyperlink"/>
          </w:rPr>
          <w:t xml:space="preserve">https://doi.org/10.64539/sjcs.v2i1.2026.368</w:t>
        </w:r>
      </w:hyperlink>
      <w:r>
        <w:t xml:space="preserve">.</w:t>
      </w:r>
    </w:p>
    <w:p>
      <w:pPr>
        <w:pStyle w:val="BodyText"/>
      </w:pPr>
      <w:r>
        <w:t xml:space="preserve">[18]</w:t>
      </w:r>
      <w:r>
        <w:t xml:space="preserve"> </w:t>
      </w:r>
      <w:r>
        <w:t xml:space="preserve">	</w:t>
      </w:r>
      <w:r>
        <w:t xml:space="preserve">S. Rukh, S. T. Oziri, and O. B. Seyi-Lande,</w:t>
      </w:r>
      <w:r>
        <w:t xml:space="preserve"> </w:t>
      </w:r>
      <w:r>
        <w:t xml:space="preserve">“A framework for leveraging artificial intelligence in strategic business decision-making,”</w:t>
      </w:r>
      <w:r>
        <w:t xml:space="preserve"> </w:t>
      </w:r>
      <w:r>
        <w:rPr>
          <w:i/>
          <w:iCs/>
        </w:rPr>
        <w:t xml:space="preserve">Gulf Journal of Advance Business Research</w:t>
      </w:r>
      <w:r>
        <w:t xml:space="preserve">, Nov. 2025, doi:</w:t>
      </w:r>
      <w:r>
        <w:t xml:space="preserve"> </w:t>
      </w:r>
      <w:hyperlink r:id="rId26">
        <w:r>
          <w:rPr>
            <w:rStyle w:val="Hyperlink"/>
          </w:rPr>
          <w:t xml:space="preserve">10.51594/gjabr.v3i11.171</w:t>
        </w:r>
      </w:hyperlink>
      <w:r>
        <w:t xml:space="preserve">.</w:t>
      </w:r>
    </w:p>
    <w:p>
      <w:pPr>
        <w:pStyle w:val="BodyText"/>
      </w:pPr>
      <w:r>
        <w:t xml:space="preserve">[19]</w:t>
      </w:r>
      <w:r>
        <w:t xml:space="preserve"> </w:t>
      </w:r>
      <w:r>
        <w:t xml:space="preserve">	</w:t>
      </w:r>
      <w:r>
        <w:t xml:space="preserve">A. Waqas</w:t>
      </w:r>
      <w:r>
        <w:t xml:space="preserve"> </w:t>
      </w:r>
      <w:r>
        <w:rPr>
          <w:i/>
          <w:iCs/>
        </w:rPr>
        <w:t xml:space="preserve">et al.</w:t>
      </w:r>
      <w:r>
        <w:t xml:space="preserve">,</w:t>
      </w:r>
      <w:r>
        <w:t xml:space="preserve"> </w:t>
      </w:r>
      <w:r>
        <w:t xml:space="preserve">“Abstract 26: Multi-agent AI orchestration for temporal-aware extraction of social determinants of health from unstructured clinical records in cancer populations.”</w:t>
      </w:r>
      <w:r>
        <w:t xml:space="preserve"> </w:t>
      </w:r>
      <w:r>
        <w:rPr>
          <w:i/>
          <w:iCs/>
        </w:rPr>
        <w:t xml:space="preserve">Cancer Research</w:t>
      </w:r>
      <w:r>
        <w:t xml:space="preserve">, Apr. 2026, doi:</w:t>
      </w:r>
      <w:r>
        <w:t xml:space="preserve"> </w:t>
      </w:r>
      <w:hyperlink r:id="rId27">
        <w:r>
          <w:rPr>
            <w:rStyle w:val="Hyperlink"/>
          </w:rPr>
          <w:t xml:space="preserve">10.1158/1538-7445.am2026-26</w:t>
        </w:r>
      </w:hyperlink>
      <w:r>
        <w:t xml:space="preserve">.</w:t>
      </w:r>
    </w:p>
    <w:p>
      <w:pPr>
        <w:pStyle w:val="BodyText"/>
      </w:pPr>
      <w:r>
        <w:t xml:space="preserve">[20]</w:t>
      </w:r>
      <w:r>
        <w:t xml:space="preserve"> </w:t>
      </w:r>
      <w:r>
        <w:t xml:space="preserve">	</w:t>
      </w:r>
      <w:r>
        <w:t xml:space="preserve">A. Warrier and A. K. S,</w:t>
      </w:r>
      <w:r>
        <w:t xml:space="preserve"> </w:t>
      </w:r>
      <w:r>
        <w:t xml:space="preserve">“Autonomous agentic AI for clinical workflow orchestration: Self-managing healthcare operations,”</w:t>
      </w:r>
      <w:r>
        <w:t xml:space="preserve"> </w:t>
      </w:r>
      <w:r>
        <w:rPr>
          <w:i/>
          <w:iCs/>
        </w:rPr>
        <w:t xml:space="preserve">2025 6th International Conference on IoT Based Control Networks and Intelligent Systems (ICICNIS)</w:t>
      </w:r>
      <w:r>
        <w:t xml:space="preserve">, Dec. 2025, doi:</w:t>
      </w:r>
      <w:r>
        <w:t xml:space="preserve"> </w:t>
      </w:r>
      <w:hyperlink r:id="rId28">
        <w:r>
          <w:rPr>
            <w:rStyle w:val="Hyperlink"/>
          </w:rPr>
          <w:t xml:space="preserve">10.1109/ICICNIS66685.2025.11315712</w:t>
        </w:r>
      </w:hyperlink>
      <w:r>
        <w:t xml:space="preserve">.</w:t>
      </w:r>
    </w:p>
    <w:p>
      <w:pPr>
        <w:pStyle w:val="BodyText"/>
      </w:pPr>
      <w:r>
        <w:t xml:space="preserve">[21]</w:t>
      </w:r>
      <w:r>
        <w:t xml:space="preserve"> </w:t>
      </w:r>
      <w:r>
        <w:t xml:space="preserve">	</w:t>
      </w:r>
      <w:r>
        <w:t xml:space="preserve">Y. Xiao, E. Sun, D. Luo, and W. Wang,</w:t>
      </w:r>
      <w:r>
        <w:t xml:space="preserve"> </w:t>
      </w:r>
      <w:r>
        <w:t xml:space="preserve">“TradingAgents: Multi-agents LLM financial trading framework,”</w:t>
      </w:r>
      <w:r>
        <w:t xml:space="preserve"> </w:t>
      </w:r>
      <w:r>
        <w:rPr>
          <w:i/>
          <w:iCs/>
        </w:rPr>
        <w:t xml:space="preserve">arXiv.org</w:t>
      </w:r>
      <w:r>
        <w:t xml:space="preserve">, Dec. 2024, doi:</w:t>
      </w:r>
      <w:r>
        <w:t xml:space="preserve"> </w:t>
      </w:r>
      <w:hyperlink r:id="rId29">
        <w:r>
          <w:rPr>
            <w:rStyle w:val="Hyperlink"/>
          </w:rPr>
          <w:t xml:space="preserve">10.48550/arXiv.2412.20138</w:t>
        </w:r>
      </w:hyperlink>
      <w:r>
        <w:t xml:space="preserve">.</w:t>
      </w:r>
    </w:p>
    <w:p>
      <w:pPr>
        <w:pStyle w:val="BodyText"/>
      </w:pPr>
      <w:r>
        <w:t xml:space="preserve">[22]</w:t>
      </w:r>
      <w:r>
        <w:t xml:space="preserve"> </w:t>
      </w:r>
      <w:r>
        <w:t xml:space="preserve">	</w:t>
      </w:r>
      <w:r>
        <w:t xml:space="preserve">S. Vadakkepati,</w:t>
      </w:r>
      <w:r>
        <w:t xml:space="preserve"> </w:t>
      </w:r>
      <w:r>
        <w:t xml:space="preserve">“Agentic AI in procure-to-pay: Opportunities, challenges, and a roadmap for autonomous procurement systems,”</w:t>
      </w:r>
      <w:r>
        <w:t xml:space="preserve"> </w:t>
      </w:r>
      <w:r>
        <w:rPr>
          <w:i/>
          <w:iCs/>
        </w:rPr>
        <w:t xml:space="preserve">Journal of Information Systems Engineering &amp; Management</w:t>
      </w:r>
      <w:r>
        <w:t xml:space="preserve">, Nov. 2025, doi:</w:t>
      </w:r>
      <w:r>
        <w:t xml:space="preserve"> </w:t>
      </w:r>
      <w:hyperlink r:id="rId30">
        <w:r>
          <w:rPr>
            <w:rStyle w:val="Hyperlink"/>
          </w:rPr>
          <w:t xml:space="preserve">10.52783/jisem.v10i62s.13763</w:t>
        </w:r>
      </w:hyperlink>
      <w:r>
        <w:t xml:space="preserve">.</w:t>
      </w:r>
    </w:p>
    <w:p>
      <w:pPr>
        <w:pStyle w:val="BodyText"/>
      </w:pPr>
      <w:r>
        <w:t xml:space="preserve">[23]</w:t>
      </w:r>
      <w:r>
        <w:t xml:space="preserve"> </w:t>
      </w:r>
      <w:r>
        <w:t xml:space="preserve">	</w:t>
      </w:r>
      <w:r>
        <w:t xml:space="preserve">V. Acharya,</w:t>
      </w:r>
      <w:r>
        <w:t xml:space="preserve"> </w:t>
      </w:r>
      <w:r>
        <w:t xml:space="preserve">“Governing the agentic enterprise: A governance maturity model for managing AI agent sprawl in business operations,”</w:t>
      </w:r>
      <w:r>
        <w:t xml:space="preserve"> </w:t>
      </w:r>
      <w:r>
        <w:t xml:space="preserve">Mar. 2026, Available:</w:t>
      </w:r>
      <w:r>
        <w:t xml:space="preserve"> </w:t>
      </w:r>
      <w:hyperlink r:id="rId31">
        <w:r>
          <w:rPr>
            <w:rStyle w:val="Hyperlink"/>
          </w:rPr>
          <w:t xml:space="preserve">https://www.semanticscholar.org/paper/cec9745d5c3c0418ba1fd2d368a9e40dbf305f8a</w:t>
        </w:r>
      </w:hyperlink>
    </w:p>
    <w:p>
      <w:pPr>
        <w:pStyle w:val="BodyText"/>
      </w:pPr>
      <w:r>
        <w:t xml:space="preserve">[24]</w:t>
      </w:r>
      <w:r>
        <w:t xml:space="preserve"> </w:t>
      </w:r>
      <w:r>
        <w:t xml:space="preserve">	</w:t>
      </w:r>
      <w:r>
        <w:t xml:space="preserve">S. A. Adedokun, D. A. Adedokun, B. O. Ishola, R. I. Adeniran, and C. O. Olaleye,</w:t>
      </w:r>
      <w:r>
        <w:t xml:space="preserve"> </w:t>
      </w:r>
      <w:r>
        <w:t xml:space="preserve">“Agentic AI and autonomous decision-making: A review of human-in-the-loop frameworks, oversight mechanisms, and trust calibration,”</w:t>
      </w:r>
      <w:r>
        <w:t xml:space="preserve"> </w:t>
      </w:r>
      <w:r>
        <w:rPr>
          <w:i/>
          <w:iCs/>
        </w:rPr>
        <w:t xml:space="preserve">International journal of research and innovation in applied science</w:t>
      </w:r>
      <w:r>
        <w:t xml:space="preserve">, 2026, doi:</w:t>
      </w:r>
      <w:r>
        <w:t xml:space="preserve"> </w:t>
      </w:r>
      <w:hyperlink r:id="rId32">
        <w:r>
          <w:rPr>
            <w:rStyle w:val="Hyperlink"/>
          </w:rPr>
          <w:t xml:space="preserve">10.51584/ijrias.2026.11030104</w:t>
        </w:r>
      </w:hyperlink>
      <w:r>
        <w:t xml:space="preserve">.</w:t>
      </w:r>
    </w:p>
    <w:p>
      <w:pPr>
        <w:pStyle w:val="BodyText"/>
      </w:pPr>
      <w:r>
        <w:t xml:space="preserve">[25]</w:t>
      </w:r>
      <w:r>
        <w:t xml:space="preserve"> </w:t>
      </w:r>
      <w:r>
        <w:t xml:space="preserve">	</w:t>
      </w:r>
      <w:r>
        <w:t xml:space="preserve">Dr. N. Sinha,</w:t>
      </w:r>
      <w:r>
        <w:t xml:space="preserve"> </w:t>
      </w:r>
      <w:r>
        <w:t xml:space="preserve">“Building trust in agentic AI: TRACE framework for policy-driven multi-agent system design,”</w:t>
      </w:r>
      <w:r>
        <w:t xml:space="preserve"> </w:t>
      </w:r>
      <w:r>
        <w:rPr>
          <w:i/>
          <w:iCs/>
        </w:rPr>
        <w:t xml:space="preserve">International Journal of Current Science Research and Review</w:t>
      </w:r>
      <w:r>
        <w:t xml:space="preserve">, Feb. 2026, doi:</w:t>
      </w:r>
      <w:r>
        <w:t xml:space="preserve"> </w:t>
      </w:r>
      <w:hyperlink r:id="rId33">
        <w:r>
          <w:rPr>
            <w:rStyle w:val="Hyperlink"/>
          </w:rPr>
          <w:t xml:space="preserve">10.47191/ijcsrr/v9-i2-46</w:t>
        </w:r>
      </w:hyperlink>
      <w:r>
        <w:t xml:space="preserve">.</w:t>
      </w:r>
    </w:p>
    <w:p>
      <w:pPr>
        <w:pStyle w:val="BodyText"/>
      </w:pPr>
      <w:r>
        <w:t xml:space="preserve">[26]</w:t>
      </w:r>
      <w:r>
        <w:t xml:space="preserve"> </w:t>
      </w:r>
      <w:r>
        <w:t xml:space="preserve">	</w:t>
      </w:r>
      <w:r>
        <w:t xml:space="preserve">M. Amin,</w:t>
      </w:r>
      <w:r>
        <w:t xml:space="preserve"> </w:t>
      </w:r>
      <w:r>
        <w:t xml:space="preserve">“Building regulatory confidence with human-in-the-loop AI in paperless GMP validation,”</w:t>
      </w:r>
      <w:r>
        <w:t xml:space="preserve"> </w:t>
      </w:r>
      <w:r>
        <w:rPr>
          <w:i/>
          <w:iCs/>
        </w:rPr>
        <w:t xml:space="preserve">Journal of Artificial Intelligence</w:t>
      </w:r>
      <w:r>
        <w:t xml:space="preserve">, 2026, doi:</w:t>
      </w:r>
      <w:r>
        <w:t xml:space="preserve"> </w:t>
      </w:r>
      <w:hyperlink r:id="rId34">
        <w:r>
          <w:rPr>
            <w:rStyle w:val="Hyperlink"/>
          </w:rPr>
          <w:t xml:space="preserve">10.32604/jai.2026.073895</w:t>
        </w:r>
      </w:hyperlink>
      <w:r>
        <w:t xml:space="preserve">.</w:t>
      </w:r>
    </w:p>
    <w:p>
      <w:pPr>
        <w:pStyle w:val="BodyText"/>
      </w:pPr>
      <w:r>
        <w:t xml:space="preserve">[27]</w:t>
      </w:r>
      <w:r>
        <w:t xml:space="preserve"> </w:t>
      </w:r>
      <w:r>
        <w:t xml:space="preserve">	</w:t>
      </w:r>
      <w:r>
        <w:t xml:space="preserve">Dr. S. F. Begum and Dr. F. Sultana,</w:t>
      </w:r>
      <w:r>
        <w:t xml:space="preserve"> </w:t>
      </w:r>
      <w:r>
        <w:t xml:space="preserve">“Explainable and trustworthy generative al: A framework for interpretable large language models in high-stakes decision systems,”</w:t>
      </w:r>
      <w:r>
        <w:t xml:space="preserve"> </w:t>
      </w:r>
      <w:r>
        <w:rPr>
          <w:i/>
          <w:iCs/>
        </w:rPr>
        <w:t xml:space="preserve">International Journal of Advanced Research in Science, Communication and Technology</w:t>
      </w:r>
      <w:r>
        <w:t xml:space="preserve">, Feb. 2026, doi:</w:t>
      </w:r>
      <w:r>
        <w:t xml:space="preserve"> </w:t>
      </w:r>
      <w:hyperlink r:id="rId35">
        <w:r>
          <w:rPr>
            <w:rStyle w:val="Hyperlink"/>
          </w:rPr>
          <w:t xml:space="preserve">10.48175/ijarsct-31102</w:t>
        </w:r>
      </w:hyperlink>
      <w:r>
        <w:t xml:space="preserve">.</w:t>
      </w:r>
    </w:p>
    <w:p>
      <w:pPr>
        <w:pStyle w:val="BodyText"/>
      </w:pPr>
      <w:r>
        <w:t xml:space="preserve">[28]</w:t>
      </w:r>
      <w:r>
        <w:t xml:space="preserve"> </w:t>
      </w:r>
      <w:r>
        <w:t xml:space="preserve">	</w:t>
      </w:r>
      <w:r>
        <w:t xml:space="preserve">S. Sidra and S. M. Wagan,</w:t>
      </w:r>
      <w:r>
        <w:t xml:space="preserve"> </w:t>
      </w:r>
      <w:r>
        <w:t xml:space="preserve">“Human-in-the-loop: How managers can govern AI decisions in HR practices,”</w:t>
      </w:r>
      <w:r>
        <w:t xml:space="preserve"> </w:t>
      </w:r>
      <w:r>
        <w:rPr>
          <w:i/>
          <w:iCs/>
        </w:rPr>
        <w:t xml:space="preserve">Journal of Modelling in Management</w:t>
      </w:r>
      <w:r>
        <w:t xml:space="preserve">, May 2026, doi:</w:t>
      </w:r>
      <w:r>
        <w:t xml:space="preserve"> </w:t>
      </w:r>
      <w:hyperlink r:id="rId36">
        <w:r>
          <w:rPr>
            <w:rStyle w:val="Hyperlink"/>
          </w:rPr>
          <w:t xml:space="preserve">10.1108/jm2-12-2025-0674</w:t>
        </w:r>
      </w:hyperlink>
      <w:r>
        <w:t xml:space="preserve">.</w:t>
      </w:r>
    </w:p>
    <w:p>
      <w:pPr>
        <w:pStyle w:val="BodyText"/>
      </w:pPr>
      <w:r>
        <w:t xml:space="preserve">[29]</w:t>
      </w:r>
      <w:r>
        <w:t xml:space="preserve"> </w:t>
      </w:r>
      <w:r>
        <w:t xml:space="preserve">	</w:t>
      </w:r>
      <w:r>
        <w:t xml:space="preserve">A. K. T. S, S. S, and A. S,</w:t>
      </w:r>
      <w:r>
        <w:t xml:space="preserve"> </w:t>
      </w:r>
      <w:r>
        <w:t xml:space="preserve">“A human-AI collaborative framework for sustainable water resource management using multi-modal sensing and explainable deep learning,”</w:t>
      </w:r>
      <w:r>
        <w:t xml:space="preserve"> </w:t>
      </w:r>
      <w:r>
        <w:rPr>
          <w:i/>
          <w:iCs/>
        </w:rPr>
        <w:t xml:space="preserve">2026 7th International Conference on Mobile Computing and Sustainable Informatics (ICMCSI)</w:t>
      </w:r>
      <w:r>
        <w:t xml:space="preserve">, Jan. 2026, doi:</w:t>
      </w:r>
      <w:r>
        <w:t xml:space="preserve"> </w:t>
      </w:r>
      <w:hyperlink r:id="rId37">
        <w:r>
          <w:rPr>
            <w:rStyle w:val="Hyperlink"/>
          </w:rPr>
          <w:t xml:space="preserve">10.1109/ICMCSI67283.2026.11412496</w:t>
        </w:r>
      </w:hyperlink>
      <w:r>
        <w:t xml:space="preserve">.</w:t>
      </w:r>
    </w:p>
    <w:p>
      <w:pPr>
        <w:pStyle w:val="BodyText"/>
      </w:pPr>
      <w:r>
        <w:t xml:space="preserve">[30]</w:t>
      </w:r>
      <w:r>
        <w:t xml:space="preserve"> </w:t>
      </w:r>
      <w:r>
        <w:t xml:space="preserve">	</w:t>
      </w:r>
      <w:r>
        <w:t xml:space="preserve">P. Majumdar,</w:t>
      </w:r>
      <w:r>
        <w:t xml:space="preserve"> </w:t>
      </w:r>
      <w:r>
        <w:t xml:space="preserve">“Navigating the speed-quality trade-off in AI-driven decision-making,”</w:t>
      </w:r>
      <w:r>
        <w:t xml:space="preserve"> </w:t>
      </w:r>
      <w:r>
        <w:rPr>
          <w:i/>
          <w:iCs/>
        </w:rPr>
        <w:t xml:space="preserve">American Journal of Information Science and Technology</w:t>
      </w:r>
      <w:r>
        <w:t xml:space="preserve">, Sept. 2025, doi:</w:t>
      </w:r>
      <w:r>
        <w:t xml:space="preserve"> </w:t>
      </w:r>
      <w:hyperlink r:id="rId38">
        <w:r>
          <w:rPr>
            <w:rStyle w:val="Hyperlink"/>
          </w:rPr>
          <w:t xml:space="preserve">10.11648/j.ajist.20250903.16</w:t>
        </w:r>
      </w:hyperlink>
      <w:r>
        <w:t xml:space="preserve">.</w:t>
      </w:r>
    </w:p>
    <w:p>
      <w:pPr>
        <w:pStyle w:val="BodyText"/>
      </w:pPr>
      <w:r>
        <w:t xml:space="preserve">[31]</w:t>
      </w:r>
      <w:r>
        <w:t xml:space="preserve"> </w:t>
      </w:r>
      <w:r>
        <w:t xml:space="preserve">	</w:t>
      </w:r>
      <w:r>
        <w:t xml:space="preserve">A. Pothukuchi,</w:t>
      </w:r>
      <w:r>
        <w:t xml:space="preserve"> </w:t>
      </w:r>
      <w:r>
        <w:t xml:space="preserve">“Autonomous AI agents in enterprise CRM: Architecture, governance, and operational safety,”</w:t>
      </w:r>
      <w:r>
        <w:t xml:space="preserve"> </w:t>
      </w:r>
      <w:r>
        <w:rPr>
          <w:i/>
          <w:iCs/>
        </w:rPr>
        <w:t xml:space="preserve">Journal of Information Systems Engineering &amp; Management</w:t>
      </w:r>
      <w:r>
        <w:t xml:space="preserve">, Feb. 2026, doi:</w:t>
      </w:r>
      <w:r>
        <w:t xml:space="preserve"> </w:t>
      </w:r>
      <w:hyperlink r:id="rId39">
        <w:r>
          <w:rPr>
            <w:rStyle w:val="Hyperlink"/>
          </w:rPr>
          <w:t xml:space="preserve">10.52783/jisem.v11i2s.14537</w:t>
        </w:r>
      </w:hyperlink>
      <w:r>
        <w:t xml:space="preserve">.</w:t>
      </w:r>
    </w:p>
    <w:p>
      <w:pPr>
        <w:pStyle w:val="BodyText"/>
      </w:pPr>
      <w:r>
        <w:t xml:space="preserve">[32]</w:t>
      </w:r>
      <w:r>
        <w:t xml:space="preserve"> </w:t>
      </w:r>
      <w:r>
        <w:t xml:space="preserve">	</w:t>
      </w:r>
      <w:r>
        <w:t xml:space="preserve">R. Ranjan, S. Gupta, and S. N. Singh,</w:t>
      </w:r>
      <w:r>
        <w:t xml:space="preserve"> </w:t>
      </w:r>
      <w:r>
        <w:t xml:space="preserve">“LOKA protocol: A decentralized framework for trustworthy and ethical AI agent ecosystems,”</w:t>
      </w:r>
      <w:r>
        <w:t xml:space="preserve"> </w:t>
      </w:r>
      <w:r>
        <w:rPr>
          <w:i/>
          <w:iCs/>
        </w:rPr>
        <w:t xml:space="preserve">arXiv.org</w:t>
      </w:r>
      <w:r>
        <w:t xml:space="preserve">, Apr. 2025, doi:</w:t>
      </w:r>
      <w:r>
        <w:t xml:space="preserve"> </w:t>
      </w:r>
      <w:hyperlink r:id="rId40">
        <w:r>
          <w:rPr>
            <w:rStyle w:val="Hyperlink"/>
          </w:rPr>
          <w:t xml:space="preserve">10.48550/arXiv.2504.10915</w:t>
        </w:r>
      </w:hyperlink>
      <w:r>
        <w:t xml:space="preserve">.</w:t>
      </w:r>
    </w:p>
    <w:p>
      <w:pPr>
        <w:pStyle w:val="BodyText"/>
      </w:pPr>
      <w:r>
        <w:t xml:space="preserve">[33]</w:t>
      </w:r>
      <w:r>
        <w:t xml:space="preserve"> </w:t>
      </w:r>
      <w:r>
        <w:t xml:space="preserve">	</w:t>
      </w:r>
      <w:r>
        <w:t xml:space="preserve">V. Pasupuleti, S. R. Allala, S. R. K. V. Bayyavarapu, and S. Tyagi,</w:t>
      </w:r>
      <w:r>
        <w:t xml:space="preserve"> </w:t>
      </w:r>
      <w:r>
        <w:t xml:space="preserve">“Safe and policy-compliant multi-agent orchestration for enterprise AI,”</w:t>
      </w:r>
      <w:r>
        <w:t xml:space="preserve"> </w:t>
      </w:r>
      <w:r>
        <w:rPr>
          <w:i/>
          <w:iCs/>
        </w:rPr>
        <w:t xml:space="preserve">2026 International Conference on Artificial Intelligence, Systems, and Emerging Technologies (ICAISET)</w:t>
      </w:r>
      <w:r>
        <w:t xml:space="preserve">, Apr. 2026, doi:</w:t>
      </w:r>
      <w:r>
        <w:t xml:space="preserve"> </w:t>
      </w:r>
      <w:hyperlink r:id="rId41">
        <w:r>
          <w:rPr>
            <w:rStyle w:val="Hyperlink"/>
          </w:rPr>
          <w:t xml:space="preserve">10.1109/ICAISET66439.2026.11541969</w:t>
        </w:r>
      </w:hyperlink>
      <w:r>
        <w:t xml:space="preserve">.</w:t>
      </w:r>
    </w:p>
    <w:p>
      <w:pPr>
        <w:pStyle w:val="BodyText"/>
      </w:pPr>
      <w:r>
        <w:t xml:space="preserve">[34]</w:t>
      </w:r>
      <w:r>
        <w:t xml:space="preserve"> </w:t>
      </w:r>
      <w:r>
        <w:t xml:space="preserve">	</w:t>
      </w:r>
      <w:r>
        <w:t xml:space="preserve">V. Shukla and G. G. Parker,</w:t>
      </w:r>
      <w:r>
        <w:t xml:space="preserve"> </w:t>
      </w:r>
      <w:r>
        <w:t xml:space="preserve">“Multi-agent orchestration protocol for generative AI systems,”</w:t>
      </w:r>
      <w:r>
        <w:t xml:space="preserve"> </w:t>
      </w:r>
      <w:r>
        <w:rPr>
          <w:i/>
          <w:iCs/>
        </w:rPr>
        <w:t xml:space="preserve">2025 8th International Seminar on Research of Information Technology and Intelligent Systems (ISRITI)</w:t>
      </w:r>
      <w:r>
        <w:t xml:space="preserve">, Dec. 2025, doi:</w:t>
      </w:r>
      <w:r>
        <w:t xml:space="preserve"> </w:t>
      </w:r>
      <w:hyperlink r:id="rId42">
        <w:r>
          <w:rPr>
            <w:rStyle w:val="Hyperlink"/>
          </w:rPr>
          <w:t xml:space="preserve">10.1109/ISRITI68345.2025.11393196</w:t>
        </w:r>
      </w:hyperlink>
      <w:r>
        <w:t xml:space="preserve">.</w:t>
      </w:r>
    </w:p>
    <w:p>
      <w:pPr>
        <w:pStyle w:val="BodyText"/>
      </w:pPr>
      <w:r>
        <w:t xml:space="preserve">[35]</w:t>
      </w:r>
      <w:r>
        <w:t xml:space="preserve"> </w:t>
      </w:r>
      <w:r>
        <w:t xml:space="preserve">	</w:t>
      </w:r>
      <w:r>
        <w:t xml:space="preserve">Y. Dou and W. Yang,</w:t>
      </w:r>
      <w:r>
        <w:t xml:space="preserve"> </w:t>
      </w:r>
      <w:r>
        <w:t xml:space="preserve">“AJAR: Adaptive jailbreak architecture for red-teaming,”</w:t>
      </w:r>
      <w:r>
        <w:t xml:space="preserve"> </w:t>
      </w:r>
      <w:r>
        <w:rPr>
          <w:i/>
          <w:iCs/>
        </w:rPr>
        <w:t xml:space="preserve">arXiv.org</w:t>
      </w:r>
      <w:r>
        <w:t xml:space="preserve">, Jan. 2026, doi:</w:t>
      </w:r>
      <w:r>
        <w:t xml:space="preserve"> </w:t>
      </w:r>
      <w:hyperlink r:id="rId43">
        <w:r>
          <w:rPr>
            <w:rStyle w:val="Hyperlink"/>
          </w:rPr>
          <w:t xml:space="preserve">10.48550/arXiv.2601.10971</w:t>
        </w:r>
      </w:hyperlink>
      <w:r>
        <w:t xml:space="preserve">.</w:t>
      </w:r>
    </w:p>
    <w:p>
      <w:pPr>
        <w:pStyle w:val="BodyText"/>
      </w:pPr>
      <w:r>
        <w:t xml:space="preserve">[36]</w:t>
      </w:r>
      <w:r>
        <w:t xml:space="preserve"> </w:t>
      </w:r>
      <w:r>
        <w:t xml:space="preserve">	</w:t>
      </w:r>
      <w:r>
        <w:t xml:space="preserve">A. Horal</w:t>
      </w:r>
      <w:r>
        <w:t xml:space="preserve"> </w:t>
      </w:r>
      <w:r>
        <w:rPr>
          <w:i/>
          <w:iCs/>
        </w:rPr>
        <w:t xml:space="preserve">et al.</w:t>
      </w:r>
      <w:r>
        <w:t xml:space="preserve">,</w:t>
      </w:r>
      <w:r>
        <w:t xml:space="preserve"> </w:t>
      </w:r>
      <w:r>
        <w:t xml:space="preserve">“RedTWIZ: Diverse LLM red teaming via adaptive attack planning,”</w:t>
      </w:r>
      <w:r>
        <w:t xml:space="preserve"> </w:t>
      </w:r>
      <w:r>
        <w:rPr>
          <w:i/>
          <w:iCs/>
        </w:rPr>
        <w:t xml:space="preserve">arXiv.org</w:t>
      </w:r>
      <w:r>
        <w:t xml:space="preserve">, Oct. 2025, doi:</w:t>
      </w:r>
      <w:r>
        <w:t xml:space="preserve"> </w:t>
      </w:r>
      <w:hyperlink r:id="rId44">
        <w:r>
          <w:rPr>
            <w:rStyle w:val="Hyperlink"/>
          </w:rPr>
          <w:t xml:space="preserve">10.48550/arXiv.2510.06994</w:t>
        </w:r>
      </w:hyperlink>
      <w:r>
        <w:t xml:space="preserve">.</w:t>
      </w:r>
    </w:p>
    <w:p>
      <w:pPr>
        <w:pStyle w:val="BodyText"/>
      </w:pPr>
      <w:r>
        <w:t xml:space="preserve">[37]</w:t>
      </w:r>
      <w:r>
        <w:t xml:space="preserve"> </w:t>
      </w:r>
      <w:r>
        <w:t xml:space="preserve">	</w:t>
      </w:r>
      <w:r>
        <w:t xml:space="preserve">T. Vangalapat and S. I. Shaikh,</w:t>
      </w:r>
      <w:r>
        <w:t xml:space="preserve"> </w:t>
      </w:r>
      <w:r>
        <w:t xml:space="preserve">“Trustworthy agentic AI: A survey and taxonomy of secure coordination and hallucination mitigation in multi-agent large language model systems,”</w:t>
      </w:r>
      <w:r>
        <w:t xml:space="preserve"> </w:t>
      </w:r>
      <w:r>
        <w:rPr>
          <w:i/>
          <w:iCs/>
        </w:rPr>
        <w:t xml:space="preserve">International Journal of Innovative Science and Research Technology</w:t>
      </w:r>
      <w:r>
        <w:t xml:space="preserve">, Feb. 2026, doi:</w:t>
      </w:r>
      <w:r>
        <w:t xml:space="preserve"> </w:t>
      </w:r>
      <w:hyperlink r:id="rId45">
        <w:r>
          <w:rPr>
            <w:rStyle w:val="Hyperlink"/>
          </w:rPr>
          <w:t xml:space="preserve">10.38124/ijisrt/26feb1090</w:t>
        </w:r>
      </w:hyperlink>
      <w:r>
        <w:t xml:space="preserve">.</w:t>
      </w:r>
    </w:p>
    <w:p>
      <w:pPr>
        <w:pStyle w:val="BodyText"/>
      </w:pPr>
      <w:r>
        <w:t xml:space="preserve">[38]</w:t>
      </w:r>
      <w:r>
        <w:t xml:space="preserve"> </w:t>
      </w:r>
      <w:r>
        <w:t xml:space="preserve">	</w:t>
      </w:r>
      <w:r>
        <w:t xml:space="preserve">S. K. Navneet and J. Chandra,</w:t>
      </w:r>
      <w:r>
        <w:t xml:space="preserve"> </w:t>
      </w:r>
      <w:r>
        <w:t xml:space="preserve">“Rethinking autonomy: Preventing failures in AI-driven software engineering,”</w:t>
      </w:r>
      <w:r>
        <w:t xml:space="preserve"> </w:t>
      </w:r>
      <w:r>
        <w:rPr>
          <w:i/>
          <w:iCs/>
        </w:rPr>
        <w:t xml:space="preserve">arXiv.org</w:t>
      </w:r>
      <w:r>
        <w:t xml:space="preserve">, Aug. 2025, doi:</w:t>
      </w:r>
      <w:r>
        <w:t xml:space="preserve"> </w:t>
      </w:r>
      <w:hyperlink r:id="rId46">
        <w:r>
          <w:rPr>
            <w:rStyle w:val="Hyperlink"/>
          </w:rPr>
          <w:t xml:space="preserve">10.48550/arXiv.2508.11824</w:t>
        </w:r>
      </w:hyperlink>
      <w:r>
        <w:t xml:space="preserve">.</w:t>
      </w:r>
    </w:p>
    <w:p>
      <w:pPr>
        <w:pStyle w:val="BodyText"/>
      </w:pPr>
      <w:r>
        <w:t xml:space="preserve">[39]</w:t>
      </w:r>
      <w:r>
        <w:t xml:space="preserve"> </w:t>
      </w:r>
      <w:r>
        <w:t xml:space="preserve">	</w:t>
      </w:r>
      <w:r>
        <w:t xml:space="preserve">A. Fourney</w:t>
      </w:r>
      <w:r>
        <w:t xml:space="preserve"> </w:t>
      </w:r>
      <w:r>
        <w:rPr>
          <w:i/>
          <w:iCs/>
        </w:rPr>
        <w:t xml:space="preserve">et al.</w:t>
      </w:r>
      <w:r>
        <w:t xml:space="preserve">,</w:t>
      </w:r>
      <w:r>
        <w:t xml:space="preserve"> </w:t>
      </w:r>
      <w:r>
        <w:t xml:space="preserve">“Magentic-one: A generalist multi-agent system for solving complex tasks,”</w:t>
      </w:r>
      <w:r>
        <w:t xml:space="preserve"> </w:t>
      </w:r>
      <w:r>
        <w:rPr>
          <w:i/>
          <w:iCs/>
        </w:rPr>
        <w:t xml:space="preserve">arXiv.org</w:t>
      </w:r>
      <w:r>
        <w:t xml:space="preserve">, Nov. 2024, doi:</w:t>
      </w:r>
      <w:r>
        <w:t xml:space="preserve"> </w:t>
      </w:r>
      <w:hyperlink r:id="rId47">
        <w:r>
          <w:rPr>
            <w:rStyle w:val="Hyperlink"/>
          </w:rPr>
          <w:t xml:space="preserve">10.48550/arXiv.2411.04468</w:t>
        </w:r>
      </w:hyperlink>
      <w:r>
        <w:t xml:space="preserve">.</w:t>
      </w:r>
    </w:p>
    <w:p>
      <w:pPr>
        <w:pStyle w:val="BodyText"/>
      </w:pPr>
      <w:r>
        <w:t xml:space="preserve">[40]</w:t>
      </w:r>
      <w:r>
        <w:t xml:space="preserve"> </w:t>
      </w:r>
      <w:r>
        <w:t xml:space="preserve">	</w:t>
      </w:r>
      <w:r>
        <w:t xml:space="preserve">G. Ackerman</w:t>
      </w:r>
      <w:r>
        <w:t xml:space="preserve"> </w:t>
      </w:r>
      <w:r>
        <w:rPr>
          <w:i/>
          <w:iCs/>
        </w:rPr>
        <w:t xml:space="preserve">et al.</w:t>
      </w:r>
      <w:r>
        <w:t xml:space="preserve">,</w:t>
      </w:r>
      <w:r>
        <w:t xml:space="preserve"> </w:t>
      </w:r>
      <w:r>
        <w:t xml:space="preserve">“Biothreat benchmark generation framework for evaluating frontier AI models II: Benchmark generation process,”</w:t>
      </w:r>
      <w:r>
        <w:t xml:space="preserve"> </w:t>
      </w:r>
      <w:r>
        <w:rPr>
          <w:i/>
          <w:iCs/>
        </w:rPr>
        <w:t xml:space="preserve">arXiv.org</w:t>
      </w:r>
      <w:r>
        <w:t xml:space="preserve">, Dec. 2025, doi:</w:t>
      </w:r>
      <w:r>
        <w:t xml:space="preserve"> </w:t>
      </w:r>
      <w:hyperlink r:id="rId48">
        <w:r>
          <w:rPr>
            <w:rStyle w:val="Hyperlink"/>
          </w:rPr>
          <w:t xml:space="preserve">10.48550/arXiv.2512.08451</w:t>
        </w:r>
      </w:hyperlink>
      <w:r>
        <w:t xml:space="preserve">.</w:t>
      </w:r>
    </w:p>
    <w:p>
      <w:pPr>
        <w:pStyle w:val="BodyText"/>
      </w:pPr>
      <w:r>
        <w:t xml:space="preserve">[41]</w:t>
      </w:r>
      <w:r>
        <w:t xml:space="preserve"> </w:t>
      </w:r>
      <w:r>
        <w:t xml:space="preserve">	</w:t>
      </w:r>
      <w:r>
        <w:t xml:space="preserve">C. Rinaudo, W. B. Leonard, J. Hopson, T. Coumbe, J. A. Pettitt, and C. J. Darken,</w:t>
      </w:r>
      <w:r>
        <w:t xml:space="preserve"> </w:t>
      </w:r>
      <w:r>
        <w:t xml:space="preserve">“Applying deep reinforcement learning to train AI agents in a wargaming framework,”</w:t>
      </w:r>
      <w:r>
        <w:t xml:space="preserve"> </w:t>
      </w:r>
      <w:r>
        <w:rPr>
          <w:i/>
          <w:iCs/>
        </w:rPr>
        <w:t xml:space="preserve">SoutheastCon</w:t>
      </w:r>
      <w:r>
        <w:t xml:space="preserve">, Mar. 2024, doi:</w:t>
      </w:r>
      <w:r>
        <w:t xml:space="preserve"> </w:t>
      </w:r>
      <w:hyperlink r:id="rId49">
        <w:r>
          <w:rPr>
            <w:rStyle w:val="Hyperlink"/>
          </w:rPr>
          <w:t xml:space="preserve">10.1109/SoutheastCon52093.2024.10500249</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23" Target="https://doi.org/10.1007/s40747-025-01884-y" TargetMode="External" /><Relationship Type="http://schemas.openxmlformats.org/officeDocument/2006/relationships/hyperlink" Id="rId22" Target="https://doi.org/10.1038/s41598-025-32408-w" TargetMode="External" /><Relationship Type="http://schemas.openxmlformats.org/officeDocument/2006/relationships/hyperlink" Id="rId36" Target="https://doi.org/10.1108/jm2-12-2025-0674" TargetMode="External" /><Relationship Type="http://schemas.openxmlformats.org/officeDocument/2006/relationships/hyperlink" Id="rId41" Target="https://doi.org/10.1109/ICAISET66439.2026.11541969" TargetMode="External" /><Relationship Type="http://schemas.openxmlformats.org/officeDocument/2006/relationships/hyperlink" Id="rId28" Target="https://doi.org/10.1109/ICICNIS66685.2025.11315712" TargetMode="External" /><Relationship Type="http://schemas.openxmlformats.org/officeDocument/2006/relationships/hyperlink" Id="rId37" Target="https://doi.org/10.1109/ICMCSI67283.2026.11412496" TargetMode="External" /><Relationship Type="http://schemas.openxmlformats.org/officeDocument/2006/relationships/hyperlink" Id="rId13" Target="https://doi.org/10.1109/INDUSCON66435.2025.11241317" TargetMode="External" /><Relationship Type="http://schemas.openxmlformats.org/officeDocument/2006/relationships/hyperlink" Id="rId42" Target="https://doi.org/10.1109/ISRITI68345.2025.11393196" TargetMode="External" /><Relationship Type="http://schemas.openxmlformats.org/officeDocument/2006/relationships/hyperlink" Id="rId49" Target="https://doi.org/10.1109/SoutheastCon52093.2024.10500249" TargetMode="External" /><Relationship Type="http://schemas.openxmlformats.org/officeDocument/2006/relationships/hyperlink" Id="rId24" Target="https://doi.org/10.1109/TBDATA.2025.3533905" TargetMode="External" /><Relationship Type="http://schemas.openxmlformats.org/officeDocument/2006/relationships/hyperlink" Id="rId27" Target="https://doi.org/10.1158/1538-7445.am2026-26" TargetMode="External" /><Relationship Type="http://schemas.openxmlformats.org/officeDocument/2006/relationships/hyperlink" Id="rId38" Target="https://doi.org/10.11648/j.ajist.20250903.16" TargetMode="External" /><Relationship Type="http://schemas.openxmlformats.org/officeDocument/2006/relationships/hyperlink" Id="rId21" Target="https://doi.org/10.2139/ssrn.6310078" TargetMode="External" /><Relationship Type="http://schemas.openxmlformats.org/officeDocument/2006/relationships/hyperlink" Id="rId34" Target="https://doi.org/10.32604/jai.2026.073895" TargetMode="External" /><Relationship Type="http://schemas.openxmlformats.org/officeDocument/2006/relationships/hyperlink" Id="rId45" Target="https://doi.org/10.38124/ijisrt/26feb1090" TargetMode="External" /><Relationship Type="http://schemas.openxmlformats.org/officeDocument/2006/relationships/hyperlink" Id="rId33" Target="https://doi.org/10.47191/ijcsrr/v9-i2-46" TargetMode="External" /><Relationship Type="http://schemas.openxmlformats.org/officeDocument/2006/relationships/hyperlink" Id="rId11" Target="https://doi.org/10.48165/iitmjit.2026.12.1.14" TargetMode="External" /><Relationship Type="http://schemas.openxmlformats.org/officeDocument/2006/relationships/hyperlink" Id="rId20" Target="https://doi.org/10.48175/ijarsct-28493" TargetMode="External" /><Relationship Type="http://schemas.openxmlformats.org/officeDocument/2006/relationships/hyperlink" Id="rId35" Target="https://doi.org/10.48175/ijarsct-31102" TargetMode="External" /><Relationship Type="http://schemas.openxmlformats.org/officeDocument/2006/relationships/hyperlink" Id="rId14" Target="https://doi.org/10.48550/arXiv.2309.02427" TargetMode="External" /><Relationship Type="http://schemas.openxmlformats.org/officeDocument/2006/relationships/hyperlink" Id="rId17" Target="https://doi.org/10.48550/arXiv.2310.03659" TargetMode="External" /><Relationship Type="http://schemas.openxmlformats.org/officeDocument/2006/relationships/hyperlink" Id="rId47" Target="https://doi.org/10.48550/arXiv.2411.04468" TargetMode="External" /><Relationship Type="http://schemas.openxmlformats.org/officeDocument/2006/relationships/hyperlink" Id="rId29" Target="https://doi.org/10.48550/arXiv.2412.20138" TargetMode="External" /><Relationship Type="http://schemas.openxmlformats.org/officeDocument/2006/relationships/hyperlink" Id="rId18" Target="https://doi.org/10.48550/arXiv.2501.09136" TargetMode="External" /><Relationship Type="http://schemas.openxmlformats.org/officeDocument/2006/relationships/hyperlink" Id="rId40" Target="https://doi.org/10.48550/arXiv.2504.10915" TargetMode="External" /><Relationship Type="http://schemas.openxmlformats.org/officeDocument/2006/relationships/hyperlink" Id="rId16" Target="https://doi.org/10.48550/arXiv.2506.07398" TargetMode="External" /><Relationship Type="http://schemas.openxmlformats.org/officeDocument/2006/relationships/hyperlink" Id="rId19" Target="https://doi.org/10.48550/arXiv.2507.06520" TargetMode="External" /><Relationship Type="http://schemas.openxmlformats.org/officeDocument/2006/relationships/hyperlink" Id="rId46" Target="https://doi.org/10.48550/arXiv.2508.11824" TargetMode="External" /><Relationship Type="http://schemas.openxmlformats.org/officeDocument/2006/relationships/hyperlink" Id="rId44" Target="https://doi.org/10.48550/arXiv.2510.06994" TargetMode="External" /><Relationship Type="http://schemas.openxmlformats.org/officeDocument/2006/relationships/hyperlink" Id="rId48" Target="https://doi.org/10.48550/arXiv.2512.08451" TargetMode="External" /><Relationship Type="http://schemas.openxmlformats.org/officeDocument/2006/relationships/hyperlink" Id="rId43" Target="https://doi.org/10.48550/arXiv.2601.10971" TargetMode="External" /><Relationship Type="http://schemas.openxmlformats.org/officeDocument/2006/relationships/hyperlink" Id="rId12" Target="https://doi.org/10.48550/arXiv.2601.12560" TargetMode="External" /><Relationship Type="http://schemas.openxmlformats.org/officeDocument/2006/relationships/hyperlink" Id="rId10" Target="https://doi.org/10.48550/arXiv.2602.10479" TargetMode="External" /><Relationship Type="http://schemas.openxmlformats.org/officeDocument/2006/relationships/hyperlink" Id="rId32" Target="https://doi.org/10.51584/ijrias.2026.11030104" TargetMode="External" /><Relationship Type="http://schemas.openxmlformats.org/officeDocument/2006/relationships/hyperlink" Id="rId26" Target="https://doi.org/10.51594/gjabr.v3i11.171" TargetMode="External" /><Relationship Type="http://schemas.openxmlformats.org/officeDocument/2006/relationships/hyperlink" Id="rId30" Target="https://doi.org/10.52783/jisem.v10i62s.13763" TargetMode="External" /><Relationship Type="http://schemas.openxmlformats.org/officeDocument/2006/relationships/hyperlink" Id="rId39" Target="https://doi.org/10.52783/jisem.v11i2s.14537" TargetMode="External" /><Relationship Type="http://schemas.openxmlformats.org/officeDocument/2006/relationships/hyperlink" Id="rId9" Target="https://doi.org/10.55041/ijsrem61088" TargetMode="External" /><Relationship Type="http://schemas.openxmlformats.org/officeDocument/2006/relationships/hyperlink" Id="rId15" Target="https://doi.org/10.55524/ijirem.2026.13.2.23" TargetMode="External" /><Relationship Type="http://schemas.openxmlformats.org/officeDocument/2006/relationships/hyperlink" Id="rId25" Target="https://doi.org/10.64539/sjcs.v2i1.2026.368" TargetMode="External" /><Relationship Type="http://schemas.openxmlformats.org/officeDocument/2006/relationships/hyperlink" Id="rId31" Target="https://www.semanticscholar.org/paper/cec9745d5c3c0418ba1fd2d368a9e40dbf305f8a" TargetMode="External" /></Relationships>
</file>

<file path=word/_rels/footnotes.xml.rels><?xml version="1.0" encoding="UTF-8"?><Relationships xmlns="http://schemas.openxmlformats.org/package/2006/relationships"><Relationship Type="http://schemas.openxmlformats.org/officeDocument/2006/relationships/hyperlink" Id="rId23" Target="https://doi.org/10.1007/s40747-025-01884-y" TargetMode="External" /><Relationship Type="http://schemas.openxmlformats.org/officeDocument/2006/relationships/hyperlink" Id="rId22" Target="https://doi.org/10.1038/s41598-025-32408-w" TargetMode="External" /><Relationship Type="http://schemas.openxmlformats.org/officeDocument/2006/relationships/hyperlink" Id="rId36" Target="https://doi.org/10.1108/jm2-12-2025-0674" TargetMode="External" /><Relationship Type="http://schemas.openxmlformats.org/officeDocument/2006/relationships/hyperlink" Id="rId41" Target="https://doi.org/10.1109/ICAISET66439.2026.11541969" TargetMode="External" /><Relationship Type="http://schemas.openxmlformats.org/officeDocument/2006/relationships/hyperlink" Id="rId28" Target="https://doi.org/10.1109/ICICNIS66685.2025.11315712" TargetMode="External" /><Relationship Type="http://schemas.openxmlformats.org/officeDocument/2006/relationships/hyperlink" Id="rId37" Target="https://doi.org/10.1109/ICMCSI67283.2026.11412496" TargetMode="External" /><Relationship Type="http://schemas.openxmlformats.org/officeDocument/2006/relationships/hyperlink" Id="rId13" Target="https://doi.org/10.1109/INDUSCON66435.2025.11241317" TargetMode="External" /><Relationship Type="http://schemas.openxmlformats.org/officeDocument/2006/relationships/hyperlink" Id="rId42" Target="https://doi.org/10.1109/ISRITI68345.2025.11393196" TargetMode="External" /><Relationship Type="http://schemas.openxmlformats.org/officeDocument/2006/relationships/hyperlink" Id="rId49" Target="https://doi.org/10.1109/SoutheastCon52093.2024.10500249" TargetMode="External" /><Relationship Type="http://schemas.openxmlformats.org/officeDocument/2006/relationships/hyperlink" Id="rId24" Target="https://doi.org/10.1109/TBDATA.2025.3533905" TargetMode="External" /><Relationship Type="http://schemas.openxmlformats.org/officeDocument/2006/relationships/hyperlink" Id="rId27" Target="https://doi.org/10.1158/1538-7445.am2026-26" TargetMode="External" /><Relationship Type="http://schemas.openxmlformats.org/officeDocument/2006/relationships/hyperlink" Id="rId38" Target="https://doi.org/10.11648/j.ajist.20250903.16" TargetMode="External" /><Relationship Type="http://schemas.openxmlformats.org/officeDocument/2006/relationships/hyperlink" Id="rId21" Target="https://doi.org/10.2139/ssrn.6310078" TargetMode="External" /><Relationship Type="http://schemas.openxmlformats.org/officeDocument/2006/relationships/hyperlink" Id="rId34" Target="https://doi.org/10.32604/jai.2026.073895" TargetMode="External" /><Relationship Type="http://schemas.openxmlformats.org/officeDocument/2006/relationships/hyperlink" Id="rId45" Target="https://doi.org/10.38124/ijisrt/26feb1090" TargetMode="External" /><Relationship Type="http://schemas.openxmlformats.org/officeDocument/2006/relationships/hyperlink" Id="rId33" Target="https://doi.org/10.47191/ijcsrr/v9-i2-46" TargetMode="External" /><Relationship Type="http://schemas.openxmlformats.org/officeDocument/2006/relationships/hyperlink" Id="rId11" Target="https://doi.org/10.48165/iitmjit.2026.12.1.14" TargetMode="External" /><Relationship Type="http://schemas.openxmlformats.org/officeDocument/2006/relationships/hyperlink" Id="rId20" Target="https://doi.org/10.48175/ijarsct-28493" TargetMode="External" /><Relationship Type="http://schemas.openxmlformats.org/officeDocument/2006/relationships/hyperlink" Id="rId35" Target="https://doi.org/10.48175/ijarsct-31102" TargetMode="External" /><Relationship Type="http://schemas.openxmlformats.org/officeDocument/2006/relationships/hyperlink" Id="rId14" Target="https://doi.org/10.48550/arXiv.2309.02427" TargetMode="External" /><Relationship Type="http://schemas.openxmlformats.org/officeDocument/2006/relationships/hyperlink" Id="rId17" Target="https://doi.org/10.48550/arXiv.2310.03659" TargetMode="External" /><Relationship Type="http://schemas.openxmlformats.org/officeDocument/2006/relationships/hyperlink" Id="rId47" Target="https://doi.org/10.48550/arXiv.2411.04468" TargetMode="External" /><Relationship Type="http://schemas.openxmlformats.org/officeDocument/2006/relationships/hyperlink" Id="rId29" Target="https://doi.org/10.48550/arXiv.2412.20138" TargetMode="External" /><Relationship Type="http://schemas.openxmlformats.org/officeDocument/2006/relationships/hyperlink" Id="rId18" Target="https://doi.org/10.48550/arXiv.2501.09136" TargetMode="External" /><Relationship Type="http://schemas.openxmlformats.org/officeDocument/2006/relationships/hyperlink" Id="rId40" Target="https://doi.org/10.48550/arXiv.2504.10915" TargetMode="External" /><Relationship Type="http://schemas.openxmlformats.org/officeDocument/2006/relationships/hyperlink" Id="rId16" Target="https://doi.org/10.48550/arXiv.2506.07398" TargetMode="External" /><Relationship Type="http://schemas.openxmlformats.org/officeDocument/2006/relationships/hyperlink" Id="rId19" Target="https://doi.org/10.48550/arXiv.2507.06520" TargetMode="External" /><Relationship Type="http://schemas.openxmlformats.org/officeDocument/2006/relationships/hyperlink" Id="rId46" Target="https://doi.org/10.48550/arXiv.2508.11824" TargetMode="External" /><Relationship Type="http://schemas.openxmlformats.org/officeDocument/2006/relationships/hyperlink" Id="rId44" Target="https://doi.org/10.48550/arXiv.2510.06994" TargetMode="External" /><Relationship Type="http://schemas.openxmlformats.org/officeDocument/2006/relationships/hyperlink" Id="rId48" Target="https://doi.org/10.48550/arXiv.2512.08451" TargetMode="External" /><Relationship Type="http://schemas.openxmlformats.org/officeDocument/2006/relationships/hyperlink" Id="rId43" Target="https://doi.org/10.48550/arXiv.2601.10971" TargetMode="External" /><Relationship Type="http://schemas.openxmlformats.org/officeDocument/2006/relationships/hyperlink" Id="rId12" Target="https://doi.org/10.48550/arXiv.2601.12560" TargetMode="External" /><Relationship Type="http://schemas.openxmlformats.org/officeDocument/2006/relationships/hyperlink" Id="rId10" Target="https://doi.org/10.48550/arXiv.2602.10479" TargetMode="External" /><Relationship Type="http://schemas.openxmlformats.org/officeDocument/2006/relationships/hyperlink" Id="rId32" Target="https://doi.org/10.51584/ijrias.2026.11030104" TargetMode="External" /><Relationship Type="http://schemas.openxmlformats.org/officeDocument/2006/relationships/hyperlink" Id="rId26" Target="https://doi.org/10.51594/gjabr.v3i11.171" TargetMode="External" /><Relationship Type="http://schemas.openxmlformats.org/officeDocument/2006/relationships/hyperlink" Id="rId30" Target="https://doi.org/10.52783/jisem.v10i62s.13763" TargetMode="External" /><Relationship Type="http://schemas.openxmlformats.org/officeDocument/2006/relationships/hyperlink" Id="rId39" Target="https://doi.org/10.52783/jisem.v11i2s.14537" TargetMode="External" /><Relationship Type="http://schemas.openxmlformats.org/officeDocument/2006/relationships/hyperlink" Id="rId9" Target="https://doi.org/10.55041/ijsrem61088" TargetMode="External" /><Relationship Type="http://schemas.openxmlformats.org/officeDocument/2006/relationships/hyperlink" Id="rId15" Target="https://doi.org/10.55524/ijirem.2026.13.2.23" TargetMode="External" /><Relationship Type="http://schemas.openxmlformats.org/officeDocument/2006/relationships/hyperlink" Id="rId25" Target="https://doi.org/10.64539/sjcs.v2i1.2026.368" TargetMode="External" /><Relationship Type="http://schemas.openxmlformats.org/officeDocument/2006/relationships/hyperlink" Id="rId31" Target="https://www.semanticscholar.org/paper/cec9745d5c3c0418ba1fd2d368a9e40dbf305f8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2026-06-07T18:49:56Z</dcterms:created>
  <dcterms:modified xsi:type="dcterms:W3CDTF">2026-06-07T18:49:56Z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/tmp/document-temp/references_a4154ad3f8222c7a_1780858195.bib</vt:lpwstr>
  </property>
  <property fmtid="{D5CDD505-2E9C-101B-9397-08002B2CF9AE}" pid="3" name="csl">
    <vt:lpwstr>/tmp/document-temp/style_a4154ad3f8222c7a_1780858195.csl</vt:lpwstr>
  </property>
  <property fmtid="{D5CDD505-2E9C-101B-9397-08002B2CF9AE}" pid="4" name="link-citations">
    <vt:lpwstr>True</vt:lpwstr>
  </property>
</Properties>
</file>