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1"/>
      </w:pPr>
      <w:r>
        <w:t xml:space="preserve">Prompt 5 — Enterprise Digital Twins</w:t>
      </w:r>
    </w:p>
    <w:p>
      <w:pPr>
        <w:pStyle w:val="FirstParagraph"/>
      </w:pPr>
      <w:r>
        <w:t xml:space="preserve">Conduct a comprehensive review of enterprise digital twins, organizational digital twins, mission digital twins, digital engineering environments, and cyber-physical digital twin ecosystems. Identify architectures, simulation methodologies, data integration strategies, and AI techniques required to create continuously updating enterprise digital twins capable of forecasting organizational performance and supporting executive decision-making.</w:t>
      </w:r>
    </w:p>
    <w:p>
      <w:pPr>
        <w:pStyle w:val="BodyText"/>
      </w:pPr>
      <w:r>
        <w:rPr>
          <w:b/>
          <w:bCs/>
        </w:rPr>
        <w:t xml:space="preserve">Generated on:</w:t>
      </w:r>
      <w:r>
        <w:t xml:space="preserve"> </w:t>
      </w:r>
      <w:r>
        <w:t xml:space="preserve">June 07, 2026</w:t>
      </w:r>
    </w:p>
    <w:p>
      <w:r>
        <w:pict>
          <v:rect style="width:0;height:1.5pt" o:hralign="center" o:hrstd="t" o:hr="t"/>
        </w:pict>
      </w:r>
    </w:p>
    <w:p>
      <w:pPr>
        <w:pStyle w:val="FirstParagraph"/>
      </w:pPr>
      <w:r>
        <w:t xml:space="preserve">Excellent! I now have comprehensive coverage of the field. Let me create an outline for the literature review and identify where visualizations would be valuable.</w:t>
      </w:r>
    </w:p>
    <w:p>
      <w:pPr>
        <w:pStyle w:val="Heading2"/>
      </w:pPr>
      <w:r>
        <w:t xml:space="preserve">Comprehensive Literature Review: Enterprise Digital Twins</w:t>
      </w:r>
    </w:p>
    <w:p>
      <w:r>
        <w:pict>
          <v:rect style="width:0;height:1.5pt" o:hralign="center" o:hrstd="t" o:hr="t"/>
        </w:pict>
      </w:r>
    </w:p>
    <w:p>
      <w:pPr>
        <w:pStyle w:val="Heading1"/>
      </w:pPr>
      <w:r>
        <w:rPr>
          <w:b/>
          <w:bCs/>
        </w:rPr>
        <w:t xml:space="preserve">Enterprise Digital Twins: Architectures, Simulation Methodologies, Data Integration, and AI-Driven Organizational Performance Forecasting</w:t>
      </w:r>
    </w:p>
    <w:p>
      <w:pPr>
        <w:pStyle w:val="Heading2"/>
      </w:pPr>
      <w:r>
        <w:rPr>
          <w:b/>
          <w:bCs/>
        </w:rPr>
        <w:t xml:space="preserve">1. Foundational Concepts and Definitions of Enterprise Digital Twins</w:t>
      </w:r>
    </w:p>
    <w:p>
      <w:pPr>
        <w:pStyle w:val="FirstParagraph"/>
      </w:pPr>
      <w:r>
        <w:t xml:space="preserve">Enterprise digital twins represent a paradigm shift from traditional enterprise management systems by creating comprehensive virtual replicas of organizational processes, assets, and entire business systems</w:t>
      </w:r>
      <w:r>
        <w:t xml:space="preserve"> </w:t>
      </w:r>
      <w:hyperlink w:anchor="ref-farid2024">
        <w:r>
          <w:rPr>
            <w:rStyle w:val="Hyperlink"/>
          </w:rPr>
          <w:t xml:space="preserve">[1]</w:t>
        </w:r>
      </w:hyperlink>
      <w:r>
        <w:t xml:space="preserve">. Unlike conventional simulations that operate offline with predetermined scenarios, enterprise digital twins (EDTs) enable real-time monitoring, continuous synchronization, and dynamic adaptation to changing business conditions</w:t>
      </w:r>
      <w:r>
        <w:t xml:space="preserve"> </w:t>
      </w:r>
      <w:hyperlink w:anchor="ref-souvik2022">
        <w:r>
          <w:rPr>
            <w:rStyle w:val="Hyperlink"/>
          </w:rPr>
          <w:t xml:space="preserve">[2]</w:t>
        </w:r>
      </w:hyperlink>
      <w:r>
        <w:t xml:space="preserve">. The concept has evolved from manufacturing origins into a comprehensive tool for organizational decision-making, integrating cyber-physical systems principles with business process modeling</w:t>
      </w:r>
      <w:r>
        <w:t xml:space="preserve"> </w:t>
      </w:r>
      <w:hyperlink w:anchor="ref-fabrizio2024">
        <w:r>
          <w:rPr>
            <w:rStyle w:val="Hyperlink"/>
          </w:rPr>
          <w:t xml:space="preserve">[3]</w:t>
        </w:r>
      </w:hyperlink>
      <w:r>
        <w:t xml:space="preserve">.</w:t>
      </w:r>
    </w:p>
    <w:p>
      <w:pPr>
        <w:pStyle w:val="BodyText"/>
      </w:pPr>
      <w:r>
        <w:t xml:space="preserve">An enterprise digital twin functions as a living mirror of the organization, continuously updated with real-time data from multiple operational systems</w:t>
      </w:r>
      <w:r>
        <w:t xml:space="preserve"> </w:t>
      </w:r>
      <w:hyperlink w:anchor="ref-farid2024">
        <w:r>
          <w:rPr>
            <w:rStyle w:val="Hyperlink"/>
          </w:rPr>
          <w:t xml:space="preserve">[1]</w:t>
        </w:r>
      </w:hyperlink>
      <w:r>
        <w:t xml:space="preserve">. This virtual replica captures not only physical assets and infrastructure but also business processes, workflows, organizational structures, and market-facing operations</w:t>
      </w:r>
      <w:r>
        <w:t xml:space="preserve"> </w:t>
      </w:r>
      <w:hyperlink w:anchor="ref-fabrizio2024">
        <w:r>
          <w:rPr>
            <w:rStyle w:val="Hyperlink"/>
          </w:rPr>
          <w:t xml:space="preserve">[3]</w:t>
        </w:r>
      </w:hyperlink>
      <w:r>
        <w:t xml:space="preserve">. The fundamental distinction between traditional business intelligence systems and enterprise digital twins lies in their bidirectional interaction capability—digital twins receive continuous data streams and simultaneously provide actionable insights that influence physical and organizational systems in real-time</w:t>
      </w:r>
      <w:r>
        <w:t xml:space="preserve"> </w:t>
      </w:r>
      <w:hyperlink w:anchor="ref-souvik2022">
        <w:r>
          <w:rPr>
            <w:rStyle w:val="Hyperlink"/>
          </w:rPr>
          <w:t xml:space="preserve">[2]</w:t>
        </w:r>
      </w:hyperlink>
      <w:r>
        <w:t xml:space="preserve">.</w:t>
      </w:r>
    </w:p>
    <w:p>
      <w:pPr>
        <w:pStyle w:val="BodyText"/>
      </w:pPr>
      <w:r>
        <w:t xml:space="preserve">The evolution of digital twin technology in enterprise contexts reflects Industry 4.0 and Industry 5.0 paradigms, where human-centric decision-making integrates with autonomous, data-driven systems</w:t>
      </w:r>
      <w:r>
        <w:t xml:space="preserve"> </w:t>
      </w:r>
      <w:hyperlink w:anchor="ref-i2025">
        <w:r>
          <w:rPr>
            <w:rStyle w:val="Hyperlink"/>
          </w:rPr>
          <w:t xml:space="preserve">[4]</w:t>
        </w:r>
      </w:hyperlink>
      <w:r>
        <w:t xml:space="preserve">. Organizations increasingly recognize that enterprise digital twins enable simulation-driven business experimentation, allowing evidence-backed strategic decisions without costly real-world trials</w:t>
      </w:r>
      <w:r>
        <w:t xml:space="preserve"> </w:t>
      </w:r>
      <w:hyperlink w:anchor="ref-souvik2022">
        <w:r>
          <w:rPr>
            <w:rStyle w:val="Hyperlink"/>
          </w:rPr>
          <w:t xml:space="preserve">[2]</w:t>
        </w:r>
      </w:hyperlink>
      <w:r>
        <w:t xml:space="preserve">. This capability becomes particularly valuable in complex, uncertain environments where traditional business modeling techniques struggle to capture system-of-system dynamics and emergent behaviors</w:t>
      </w:r>
      <w:r>
        <w:t xml:space="preserve"> </w:t>
      </w:r>
      <w:hyperlink w:anchor="ref-fabrizio2024">
        <w:r>
          <w:rPr>
            <w:rStyle w:val="Hyperlink"/>
          </w:rPr>
          <w:t xml:space="preserve">[3]</w:t>
        </w:r>
      </w:hyperlink>
      <w:r>
        <w:t xml:space="preserve">.</w:t>
      </w:r>
    </w:p>
    <w:p>
      <w:r>
        <w:pict>
          <v:rect style="width:0;height:1.5pt" o:hralign="center" o:hrstd="t" o:hr="t"/>
        </w:pict>
      </w:r>
    </w:p>
    <w:p>
      <w:pPr>
        <w:pStyle w:val="Heading2"/>
      </w:pPr>
      <w:r>
        <w:rPr>
          <w:b/>
          <w:bCs/>
        </w:rPr>
        <w:t xml:space="preserve">2. Enterprise Digital Twin Architectures and Reference Frameworks</w:t>
      </w:r>
    </w:p>
    <w:p>
      <w:pPr>
        <w:pStyle w:val="Heading3"/>
      </w:pPr>
      <w:r>
        <w:rPr>
          <w:b/>
          <w:bCs/>
        </w:rPr>
        <w:t xml:space="preserve">2.1 Multi-Layer Architectural Frameworks</w:t>
      </w:r>
    </w:p>
    <w:p>
      <w:pPr>
        <w:pStyle w:val="FirstParagraph"/>
      </w:pPr>
      <w:r>
        <w:t xml:space="preserve">Modern enterprise digital twin architectures follow standardized multi-layer patterns that integrate physical operations, cyber systems, intelligence layers, and decision support interfaces</w:t>
      </w:r>
      <w:r>
        <w:t xml:space="preserve"> </w:t>
      </w:r>
      <w:hyperlink w:anchor="ref-farid2024">
        <w:r>
          <w:rPr>
            <w:rStyle w:val="Hyperlink"/>
          </w:rPr>
          <w:t xml:space="preserve">[1]</w:t>
        </w:r>
      </w:hyperlink>
      <w:r>
        <w:t xml:space="preserve">. The typical architecture encompasses data ingestion layers, virtual representation layers, analytical processing layers, and application/user interface layers</w:t>
      </w:r>
      <w:r>
        <w:t xml:space="preserve"> </w:t>
      </w:r>
      <w:hyperlink w:anchor="ref-s2025">
        <w:r>
          <w:rPr>
            <w:rStyle w:val="Hyperlink"/>
          </w:rPr>
          <w:t xml:space="preserve">[5]</w:t>
        </w:r>
      </w:hyperlink>
      <w:r>
        <w:t xml:space="preserve">. These layered approaches provide flexibility while maintaining interoperability across heterogeneous enterprise systems</w:t>
      </w:r>
      <w:r>
        <w:t xml:space="preserve"> </w:t>
      </w:r>
      <w:hyperlink w:anchor="ref-p2023">
        <w:r>
          <w:rPr>
            <w:rStyle w:val="Hyperlink"/>
          </w:rPr>
          <w:t xml:space="preserve">[6]</w:t>
        </w:r>
      </w:hyperlink>
      <w:r>
        <w:t xml:space="preserve">.</w:t>
      </w:r>
    </w:p>
    <w:p>
      <w:pPr>
        <w:pStyle w:val="BodyText"/>
      </w:pPr>
      <w:r>
        <w:t xml:space="preserve">A critical architectural innovation is the integration of data layers that provide abstraction and interoperability across diverse source systems</w:t>
      </w:r>
      <w:r>
        <w:t xml:space="preserve"> </w:t>
      </w:r>
      <w:hyperlink w:anchor="ref-cheng2024">
        <w:r>
          <w:rPr>
            <w:rStyle w:val="Hyperlink"/>
          </w:rPr>
          <w:t xml:space="preserve">[7]</w:t>
        </w:r>
      </w:hyperlink>
      <w:r>
        <w:t xml:space="preserve">. These data layers decouple physical and cyber components, enabling seamless communication between IoT sensors, enterprise resource planning systems, and advanced analytics engines</w:t>
      </w:r>
      <w:r>
        <w:t xml:space="preserve"> </w:t>
      </w:r>
      <w:hyperlink w:anchor="ref-cheng2024">
        <w:r>
          <w:rPr>
            <w:rStyle w:val="Hyperlink"/>
          </w:rPr>
          <w:t xml:space="preserve">[7]</w:t>
        </w:r>
      </w:hyperlink>
      <w:r>
        <w:t xml:space="preserve">. The data layer acts as a universal translator, converting heterogeneous data formats into standardized representations suitable for simulation and decision-making</w:t>
      </w:r>
      <w:r>
        <w:t xml:space="preserve"> </w:t>
      </w:r>
      <w:hyperlink w:anchor="ref-cheng2024">
        <w:r>
          <w:rPr>
            <w:rStyle w:val="Hyperlink"/>
          </w:rPr>
          <w:t xml:space="preserve">[7]</w:t>
        </w:r>
      </w:hyperlink>
      <w:r>
        <w:t xml:space="preserve">.</w:t>
      </w:r>
    </w:p>
    <w:p>
      <w:pPr>
        <w:pStyle w:val="Heading3"/>
      </w:pPr>
      <w:r>
        <w:rPr>
          <w:b/>
          <w:bCs/>
        </w:rPr>
        <w:t xml:space="preserve">2.2 Cloud and Edge Computing Integration</w:t>
      </w:r>
    </w:p>
    <w:p>
      <w:pPr>
        <w:pStyle w:val="FirstParagraph"/>
      </w:pPr>
      <w:r>
        <w:t xml:space="preserve">Enterprise digital twins increasingly leverage cloud-based architectures combined with edge computing capabilities to achieve real-time responsiveness while maintaining scalability</w:t>
      </w:r>
      <w:r>
        <w:t xml:space="preserve"> </w:t>
      </w:r>
      <w:hyperlink w:anchor="ref-s2025">
        <w:r>
          <w:rPr>
            <w:rStyle w:val="Hyperlink"/>
          </w:rPr>
          <w:t xml:space="preserve">[5]</w:t>
        </w:r>
      </w:hyperlink>
      <w:r>
        <w:t xml:space="preserve">. Cloud platforms provide centralized repositories for enterprise data and execute computationally intensive simulations, while edge computing nodes process real-time data locally to minimize latency</w:t>
      </w:r>
      <w:r>
        <w:t xml:space="preserve"> </w:t>
      </w:r>
      <w:hyperlink w:anchor="ref-s2025a">
        <w:r>
          <w:rPr>
            <w:rStyle w:val="Hyperlink"/>
          </w:rPr>
          <w:t xml:space="preserve">[8]</w:t>
        </w:r>
      </w:hyperlink>
      <w:r>
        <w:t xml:space="preserve">. This hybrid approach enables organizations to deploy distributed digital twin instances across multiple facilities while maintaining centralized governance and coordination</w:t>
      </w:r>
      <w:r>
        <w:t xml:space="preserve"> </w:t>
      </w:r>
      <w:hyperlink w:anchor="ref-s2025a">
        <w:r>
          <w:rPr>
            <w:rStyle w:val="Hyperlink"/>
          </w:rPr>
          <w:t xml:space="preserve">[8]</w:t>
        </w:r>
      </w:hyperlink>
      <w:r>
        <w:t xml:space="preserve">.</w:t>
      </w:r>
    </w:p>
    <w:p>
      <w:pPr>
        <w:pStyle w:val="BodyText"/>
      </w:pPr>
      <w:r>
        <w:t xml:space="preserve">The cloud-enabled digital twin architecture addresses several enterprise challenges simultaneously: it provides unlimited computational scalability for large-scale simulations, enables remote access for distributed decision-makers, and integrates advanced AI/ML capabilities available through cloud services</w:t>
      </w:r>
      <w:r>
        <w:t xml:space="preserve"> </w:t>
      </w:r>
      <w:hyperlink w:anchor="ref-md2025">
        <w:r>
          <w:rPr>
            <w:rStyle w:val="Hyperlink"/>
          </w:rPr>
          <w:t xml:space="preserve">[9]</w:t>
        </w:r>
      </w:hyperlink>
      <w:r>
        <w:t xml:space="preserve">. Security considerations become paramount in cloud-based architectures, requiring robust authentication, encryption, and access control mechanisms to protect sensitive organizational data</w:t>
      </w:r>
      <w:r>
        <w:t xml:space="preserve"> </w:t>
      </w:r>
      <w:hyperlink w:anchor="ref-hassan2024">
        <w:r>
          <w:rPr>
            <w:rStyle w:val="Hyperlink"/>
          </w:rPr>
          <w:t xml:space="preserve">[10]</w:t>
        </w:r>
      </w:hyperlink>
      <w:r>
        <w:t xml:space="preserve">.</w:t>
      </w:r>
    </w:p>
    <w:p>
      <w:pPr>
        <w:pStyle w:val="Heading3"/>
      </w:pPr>
      <w:r>
        <w:rPr>
          <w:b/>
          <w:bCs/>
        </w:rPr>
        <w:t xml:space="preserve">2.3 Service-Oriented and Microservices Architectures</w:t>
      </w:r>
    </w:p>
    <w:p>
      <w:pPr>
        <w:pStyle w:val="FirstParagraph"/>
      </w:pPr>
      <w:r>
        <w:t xml:space="preserve">Modern enterprise digital twins increasingly adopt service-oriented architectures where core functions are decomposed into reusable, independently deployable microservices</w:t>
      </w:r>
      <w:r>
        <w:t xml:space="preserve"> </w:t>
      </w:r>
      <w:hyperlink w:anchor="ref-s2026">
        <w:r>
          <w:rPr>
            <w:rStyle w:val="Hyperlink"/>
          </w:rPr>
          <w:t xml:space="preserve">[11]</w:t>
        </w:r>
      </w:hyperlink>
      <w:r>
        <w:t xml:space="preserve">. This architectural approach facilitates modular composition of digital twin applications, allowing organizations to construct complex enterprise twins by orchestrating specialized services for specific business domains</w:t>
      </w:r>
      <w:r>
        <w:t xml:space="preserve"> </w:t>
      </w:r>
      <w:hyperlink w:anchor="ref-s2026">
        <w:r>
          <w:rPr>
            <w:rStyle w:val="Hyperlink"/>
          </w:rPr>
          <w:t xml:space="preserve">[11]</w:t>
        </w:r>
      </w:hyperlink>
      <w:r>
        <w:t xml:space="preserve">. Microservices-based architectures support continuous evolution—new services can be added or updated without disrupting the entire system</w:t>
      </w:r>
      <w:r>
        <w:t xml:space="preserve"> </w:t>
      </w:r>
      <w:hyperlink w:anchor="ref-s2026">
        <w:r>
          <w:rPr>
            <w:rStyle w:val="Hyperlink"/>
          </w:rPr>
          <w:t xml:space="preserve">[11]</w:t>
        </w:r>
      </w:hyperlink>
      <w:r>
        <w:t xml:space="preserve">.</w:t>
      </w:r>
    </w:p>
    <w:p>
      <w:pPr>
        <w:pStyle w:val="BodyText"/>
      </w:pPr>
      <w:r>
        <w:t xml:space="preserve">Platform-as-a-Service (PaaS) approaches further abstract the infrastructure complexity, enabling developers to focus on business logic rather than underlying technical infrastructure</w:t>
      </w:r>
      <w:r>
        <w:t xml:space="preserve"> </w:t>
      </w:r>
      <w:hyperlink w:anchor="ref-philipp2024">
        <w:r>
          <w:rPr>
            <w:rStyle w:val="Hyperlink"/>
          </w:rPr>
          <w:t xml:space="preserve">[12]</w:t>
        </w:r>
      </w:hyperlink>
      <w:r>
        <w:t xml:space="preserve">. Service catalogs with standardized interaction protocols enable non-redundant integration of heterogeneous capabilities, supporting governance workflows that ensure controlled evolution while maintaining system integrity</w:t>
      </w:r>
      <w:r>
        <w:t xml:space="preserve"> </w:t>
      </w:r>
      <w:hyperlink w:anchor="ref-s2026">
        <w:r>
          <w:rPr>
            <w:rStyle w:val="Hyperlink"/>
          </w:rPr>
          <w:t xml:space="preserve">[11]</w:t>
        </w:r>
      </w:hyperlink>
      <w:r>
        <w:t xml:space="preserve">.</w:t>
      </w:r>
    </w:p>
    <w:p>
      <w:r>
        <w:pict>
          <v:rect style="width:0;height:1.5pt" o:hralign="center" o:hrstd="t" o:hr="t"/>
        </w:pict>
      </w:r>
    </w:p>
    <w:p>
      <w:pPr>
        <w:pStyle w:val="Heading2"/>
      </w:pPr>
      <w:r>
        <w:rPr>
          <w:b/>
          <w:bCs/>
        </w:rPr>
        <w:t xml:space="preserve">3. Data Integration Strategies for Enterprise Digital Twins</w:t>
      </w:r>
    </w:p>
    <w:p>
      <w:pPr>
        <w:pStyle w:val="Heading3"/>
      </w:pPr>
      <w:r>
        <w:rPr>
          <w:b/>
          <w:bCs/>
        </w:rPr>
        <w:t xml:space="preserve">3.1 Multi-Source Heterogeneous Data Fusion</w:t>
      </w:r>
    </w:p>
    <w:p>
      <w:pPr>
        <w:pStyle w:val="FirstParagraph"/>
      </w:pPr>
      <w:r>
        <w:t xml:space="preserve">Enterprise digital twins must seamlessly integrate data from numerous heterogeneous sources including ERP systems, manufacturing equipment, IoT sensors, supply chain networks, customer systems, and external market data</w:t>
      </w:r>
      <w:r>
        <w:t xml:space="preserve"> </w:t>
      </w:r>
      <w:hyperlink w:anchor="ref-shah2024">
        <w:r>
          <w:rPr>
            <w:rStyle w:val="Hyperlink"/>
          </w:rPr>
          <w:t xml:space="preserve">[13]</w:t>
        </w:r>
      </w:hyperlink>
      <w:r>
        <w:t xml:space="preserve">. Traditional data integration approaches prove insufficient for the volume, velocity, and variety of modern enterprise data</w:t>
      </w:r>
      <w:r>
        <w:t xml:space="preserve"> </w:t>
      </w:r>
      <w:hyperlink w:anchor="ref-a2026">
        <w:r>
          <w:rPr>
            <w:rStyle w:val="Hyperlink"/>
          </w:rPr>
          <w:t xml:space="preserve">[14]</w:t>
        </w:r>
      </w:hyperlink>
      <w:r>
        <w:t xml:space="preserve">. Effective data integration strategies employ standardized protocols, semantic mapping mechanisms, and intelligent preprocessing pipelines to harmonize diverse data streams</w:t>
      </w:r>
      <w:r>
        <w:t xml:space="preserve"> </w:t>
      </w:r>
      <w:hyperlink w:anchor="ref-shah2024">
        <w:r>
          <w:rPr>
            <w:rStyle w:val="Hyperlink"/>
          </w:rPr>
          <w:t xml:space="preserve">[13]</w:t>
        </w:r>
      </w:hyperlink>
      <w:r>
        <w:t xml:space="preserve">.</w:t>
      </w:r>
    </w:p>
    <w:p>
      <w:pPr>
        <w:pStyle w:val="BodyText"/>
      </w:pPr>
      <w:r>
        <w:t xml:space="preserve">Real-time data integration pipelines establish continuous synchronization between physical operations and virtual representations</w:t>
      </w:r>
      <w:r>
        <w:t xml:space="preserve"> </w:t>
      </w:r>
      <w:hyperlink w:anchor="ref-a2026">
        <w:r>
          <w:rPr>
            <w:rStyle w:val="Hyperlink"/>
          </w:rPr>
          <w:t xml:space="preserve">[14]</w:t>
        </w:r>
      </w:hyperlink>
      <w:r>
        <w:t xml:space="preserve">. These pipelines typically incorporate multiple stages: data ingestion from source systems, validation and cleansing, semantic mapping to common data models, feature extraction for analytical purposes, and storage in optimized repositories</w:t>
      </w:r>
      <w:r>
        <w:t xml:space="preserve"> </w:t>
      </w:r>
      <w:hyperlink w:anchor="ref-hui2025">
        <w:r>
          <w:rPr>
            <w:rStyle w:val="Hyperlink"/>
          </w:rPr>
          <w:t xml:space="preserve">[15]</w:t>
        </w:r>
      </w:hyperlink>
      <w:r>
        <w:t xml:space="preserve">. The entire pipeline must operate with minimal latency to ensure the digital twin remains synchronized with actual operational conditions</w:t>
      </w:r>
      <w:r>
        <w:t xml:space="preserve"> </w:t>
      </w:r>
      <w:hyperlink w:anchor="ref-a2026">
        <w:r>
          <w:rPr>
            <w:rStyle w:val="Hyperlink"/>
          </w:rPr>
          <w:t xml:space="preserve">[14]</w:t>
        </w:r>
      </w:hyperlink>
      <w:r>
        <w:t xml:space="preserve">.</w:t>
      </w:r>
    </w:p>
    <w:p>
      <w:pPr>
        <w:pStyle w:val="Heading3"/>
      </w:pPr>
      <w:r>
        <w:rPr>
          <w:b/>
          <w:bCs/>
        </w:rPr>
        <w:t xml:space="preserve">3.2 Knowledge Graph Integration for Semantic Interoperability</w:t>
      </w:r>
    </w:p>
    <w:p>
      <w:pPr>
        <w:pStyle w:val="FirstParagraph"/>
      </w:pPr>
      <w:r>
        <w:t xml:space="preserve">Knowledge graphs emerge as a critical enabling technology for enterprise digital twins, providing semantic representations that integrate structured data with domain expertise and contextual relationships</w:t>
      </w:r>
      <w:r>
        <w:t xml:space="preserve"> </w:t>
      </w:r>
      <w:hyperlink w:anchor="ref-jia2026">
        <w:r>
          <w:rPr>
            <w:rStyle w:val="Hyperlink"/>
          </w:rPr>
          <w:t xml:space="preserve">[16]</w:t>
        </w:r>
      </w:hyperlink>
      <w:r>
        <w:t xml:space="preserve">. By representing enterprise entities (products, processes, organizations, resources) and their relationships as graph structures, knowledge graphs enable sophisticated reasoning about organizational systems</w:t>
      </w:r>
      <w:r>
        <w:t xml:space="preserve"> </w:t>
      </w:r>
      <w:hyperlink w:anchor="ref-jia2026">
        <w:r>
          <w:rPr>
            <w:rStyle w:val="Hyperlink"/>
          </w:rPr>
          <w:t xml:space="preserve">[16]</w:t>
        </w:r>
      </w:hyperlink>
      <w:r>
        <w:t xml:space="preserve">. This semantic layer transforms raw operational data into actionable business intelligence</w:t>
      </w:r>
      <w:r>
        <w:t xml:space="preserve"> </w:t>
      </w:r>
      <w:hyperlink w:anchor="ref-jia2026">
        <w:r>
          <w:rPr>
            <w:rStyle w:val="Hyperlink"/>
          </w:rPr>
          <w:t xml:space="preserve">[16]</w:t>
        </w:r>
      </w:hyperlink>
      <w:r>
        <w:t xml:space="preserve">.</w:t>
      </w:r>
    </w:p>
    <w:p>
      <w:pPr>
        <w:pStyle w:val="BodyText"/>
      </w:pPr>
      <w:r>
        <w:t xml:space="preserve">Knowledge graph architectures for enterprise digital twins typically include entity layers representing organizational concepts, relationship layers capturing dependencies and interactions, and reasoning layers that derive new insights from existing knowledge</w:t>
      </w:r>
      <w:r>
        <w:t xml:space="preserve"> </w:t>
      </w:r>
      <w:hyperlink w:anchor="ref-chang2025">
        <w:r>
          <w:rPr>
            <w:rStyle w:val="Hyperlink"/>
          </w:rPr>
          <w:t xml:space="preserve">[17]</w:t>
        </w:r>
      </w:hyperlink>
      <w:r>
        <w:t xml:space="preserve">. Multi-ontology networks, which combine domain-specific ontologies with standardized ontologies like OWL and SOSA, enable interoperability across different enterprise domains</w:t>
      </w:r>
      <w:r>
        <w:t xml:space="preserve"> </w:t>
      </w:r>
      <w:hyperlink w:anchor="ref-jicao2025">
        <w:r>
          <w:rPr>
            <w:rStyle w:val="Hyperlink"/>
          </w:rPr>
          <w:t xml:space="preserve">[18]</w:t>
        </w:r>
      </w:hyperlink>
      <w:r>
        <w:t xml:space="preserve">. Graph neural networks and reasoning engines leveraging these knowledge graphs enable sophisticated pattern recognition and anomaly detection capabilities</w:t>
      </w:r>
      <w:r>
        <w:t xml:space="preserve"> </w:t>
      </w:r>
      <w:hyperlink w:anchor="ref-yi2026">
        <w:r>
          <w:rPr>
            <w:rStyle w:val="Hyperlink"/>
          </w:rPr>
          <w:t xml:space="preserve">[19]</w:t>
        </w:r>
      </w:hyperlink>
      <w:r>
        <w:t xml:space="preserve">.</w:t>
      </w:r>
    </w:p>
    <w:p>
      <w:pPr>
        <w:pStyle w:val="Heading3"/>
      </w:pPr>
      <w:r>
        <w:rPr>
          <w:b/>
          <w:bCs/>
        </w:rPr>
        <w:t xml:space="preserve">3.3 Data Quality, Governance, and Validation</w:t>
      </w:r>
    </w:p>
    <w:p>
      <w:pPr>
        <w:pStyle w:val="FirstParagraph"/>
      </w:pPr>
      <w:r>
        <w:t xml:space="preserve">Enterprise digital twins require robust data governance frameworks ensuring data quality, consistency, and trustworthiness</w:t>
      </w:r>
      <w:r>
        <w:t xml:space="preserve"> </w:t>
      </w:r>
      <w:hyperlink w:anchor="ref-yu2025">
        <w:r>
          <w:rPr>
            <w:rStyle w:val="Hyperlink"/>
          </w:rPr>
          <w:t xml:space="preserve">[20]</w:t>
        </w:r>
      </w:hyperlink>
      <w:r>
        <w:t xml:space="preserve">. Data validation mechanisms must identify incomplete, inconsistent, or erroneous data before it reaches simulation engines, as poor data quality cascades through analytical pipelines and corrupts decision support</w:t>
      </w:r>
      <w:r>
        <w:t xml:space="preserve"> </w:t>
      </w:r>
      <w:hyperlink w:anchor="ref-yu2025">
        <w:r>
          <w:rPr>
            <w:rStyle w:val="Hyperlink"/>
          </w:rPr>
          <w:t xml:space="preserve">[20]</w:t>
        </w:r>
      </w:hyperlink>
      <w:r>
        <w:t xml:space="preserve">. Continuous validation approaches employ statistical process control and machine learning-based anomaly detection to identify data quality issues in real-time</w:t>
      </w:r>
      <w:r>
        <w:t xml:space="preserve"> </w:t>
      </w:r>
      <w:hyperlink w:anchor="ref-c2023">
        <w:r>
          <w:rPr>
            <w:rStyle w:val="Hyperlink"/>
          </w:rPr>
          <w:t xml:space="preserve">[21]</w:t>
        </w:r>
      </w:hyperlink>
      <w:r>
        <w:t xml:space="preserve">.</w:t>
      </w:r>
    </w:p>
    <w:p>
      <w:pPr>
        <w:pStyle w:val="BodyText"/>
      </w:pPr>
      <w:r>
        <w:t xml:space="preserve">Data governance extends beyond technical validation to encompass data ownership, access control, retention policies, and compliance requirements</w:t>
      </w:r>
      <w:r>
        <w:t xml:space="preserve"> </w:t>
      </w:r>
      <w:hyperlink w:anchor="ref-hassan2024">
        <w:r>
          <w:rPr>
            <w:rStyle w:val="Hyperlink"/>
          </w:rPr>
          <w:t xml:space="preserve">[10]</w:t>
        </w:r>
      </w:hyperlink>
      <w:r>
        <w:t xml:space="preserve">. Enterprise digital twins processing sensitive operational or customer data must implement comprehensive security controls protecting data confidentiality, integrity, and availability</w:t>
      </w:r>
      <w:r>
        <w:t xml:space="preserve"> </w:t>
      </w:r>
      <w:hyperlink w:anchor="ref-hassan2024">
        <w:r>
          <w:rPr>
            <w:rStyle w:val="Hyperlink"/>
          </w:rPr>
          <w:t xml:space="preserve">[10]</w:t>
        </w:r>
      </w:hyperlink>
      <w:r>
        <w:t xml:space="preserve">.</w:t>
      </w:r>
    </w:p>
    <w:p>
      <w:r>
        <w:pict>
          <v:rect style="width:0;height:1.5pt" o:hralign="center" o:hrstd="t" o:hr="t"/>
        </w:pict>
      </w:r>
    </w:p>
    <w:p>
      <w:pPr>
        <w:pStyle w:val="Heading2"/>
      </w:pPr>
      <w:r>
        <w:rPr>
          <w:b/>
          <w:bCs/>
        </w:rPr>
        <w:t xml:space="preserve">4. Simulation Methodologies for Enterprise Digital Twins</w:t>
      </w:r>
    </w:p>
    <w:p>
      <w:pPr>
        <w:pStyle w:val="Heading3"/>
      </w:pPr>
      <w:r>
        <w:rPr>
          <w:b/>
          <w:bCs/>
        </w:rPr>
        <w:t xml:space="preserve">4.1 Physics-Based and Hybrid Simulation Models</w:t>
      </w:r>
    </w:p>
    <w:p>
      <w:pPr>
        <w:pStyle w:val="FirstParagraph"/>
      </w:pPr>
      <w:r>
        <w:t xml:space="preserve">Enterprise digital twin simulation employs diverse methodologies ranging from pure physics-based models to data-driven approaches, with hybrid methods combining both paradigms proving most effective for complex organizational systems</w:t>
      </w:r>
      <w:r>
        <w:t xml:space="preserve"> </w:t>
      </w:r>
      <w:hyperlink w:anchor="ref-hui2025">
        <w:r>
          <w:rPr>
            <w:rStyle w:val="Hyperlink"/>
          </w:rPr>
          <w:t xml:space="preserve">[15]</w:t>
        </w:r>
      </w:hyperlink>
      <w:r>
        <w:t xml:space="preserve">. Physics-based models capture fundamental laws governing physical processes—thermodynamics for energy systems, fluid dynamics for manufacturing, material science for product quality</w:t>
      </w:r>
      <w:r>
        <w:t xml:space="preserve"> </w:t>
      </w:r>
      <w:hyperlink w:anchor="ref-hui2025">
        <w:r>
          <w:rPr>
            <w:rStyle w:val="Hyperlink"/>
          </w:rPr>
          <w:t xml:space="preserve">[15]</w:t>
        </w:r>
      </w:hyperlink>
      <w:r>
        <w:t xml:space="preserve">. These models provide high accuracy under well-understood conditions but require extensive validation and calibration</w:t>
      </w:r>
      <w:r>
        <w:t xml:space="preserve"> </w:t>
      </w:r>
      <w:hyperlink w:anchor="ref-hui2025">
        <w:r>
          <w:rPr>
            <w:rStyle w:val="Hyperlink"/>
          </w:rPr>
          <w:t xml:space="preserve">[15]</w:t>
        </w:r>
      </w:hyperlink>
      <w:r>
        <w:t xml:space="preserve">.</w:t>
      </w:r>
    </w:p>
    <w:p>
      <w:pPr>
        <w:pStyle w:val="BodyText"/>
      </w:pPr>
      <w:r>
        <w:t xml:space="preserve">Hybrid simulation approaches integrate physics-based models with machine learning components, leveraging physics for domains where fundamental principles are well-established while using data-driven methods for complex, emergent behaviors</w:t>
      </w:r>
      <w:r>
        <w:t xml:space="preserve"> </w:t>
      </w:r>
      <w:hyperlink w:anchor="ref-hiyam2025">
        <w:r>
          <w:rPr>
            <w:rStyle w:val="Hyperlink"/>
          </w:rPr>
          <w:t xml:space="preserve">[22]</w:t>
        </w:r>
      </w:hyperlink>
      <w:r>
        <w:t xml:space="preserve">. This hybrid approach balances interpretability and accuracy—the physics components provide explainability while machine learning handles nonlinear relationships human experts cannot easily codify</w:t>
      </w:r>
      <w:r>
        <w:t xml:space="preserve"> </w:t>
      </w:r>
      <w:hyperlink w:anchor="ref-hiyam2025">
        <w:r>
          <w:rPr>
            <w:rStyle w:val="Hyperlink"/>
          </w:rPr>
          <w:t xml:space="preserve">[22]</w:t>
        </w:r>
      </w:hyperlink>
      <w:r>
        <w:t xml:space="preserve">.</w:t>
      </w:r>
    </w:p>
    <w:p>
      <w:pPr>
        <w:pStyle w:val="Heading3"/>
      </w:pPr>
      <w:r>
        <w:rPr>
          <w:b/>
          <w:bCs/>
        </w:rPr>
        <w:t xml:space="preserve">4.2 Discrete Event and Agent-Based Simulation</w:t>
      </w:r>
    </w:p>
    <w:p>
      <w:pPr>
        <w:pStyle w:val="FirstParagraph"/>
      </w:pPr>
      <w:r>
        <w:t xml:space="preserve">Many enterprise processes lend themselves to discrete event simulation (DES) and agent-based simulation (ABS) methodologies</w:t>
      </w:r>
      <w:r>
        <w:t xml:space="preserve"> </w:t>
      </w:r>
      <w:hyperlink w:anchor="ref-d2024">
        <w:r>
          <w:rPr>
            <w:rStyle w:val="Hyperlink"/>
          </w:rPr>
          <w:t xml:space="preserve">[23]</w:t>
        </w:r>
      </w:hyperlink>
      <w:r>
        <w:t xml:space="preserve">. Discrete event simulation models represent organizational processes as sequences of discrete events (order arrivals, machine breakdowns, shift changes) with continuous modeling between events</w:t>
      </w:r>
      <w:r>
        <w:t xml:space="preserve"> </w:t>
      </w:r>
      <w:hyperlink w:anchor="ref-d2024">
        <w:r>
          <w:rPr>
            <w:rStyle w:val="Hyperlink"/>
          </w:rPr>
          <w:t xml:space="preserve">[23]</w:t>
        </w:r>
      </w:hyperlink>
      <w:r>
        <w:t xml:space="preserve">. This methodology proves particularly valuable for supply chain, logistics, and operational process simulation where event timing and sequencing dominate system behavior</w:t>
      </w:r>
      <w:r>
        <w:t xml:space="preserve"> </w:t>
      </w:r>
      <w:hyperlink w:anchor="ref-d2024">
        <w:r>
          <w:rPr>
            <w:rStyle w:val="Hyperlink"/>
          </w:rPr>
          <w:t xml:space="preserve">[23]</w:t>
        </w:r>
      </w:hyperlink>
      <w:r>
        <w:t xml:space="preserve">.</w:t>
      </w:r>
    </w:p>
    <w:p>
      <w:pPr>
        <w:pStyle w:val="BodyText"/>
      </w:pPr>
      <w:r>
        <w:t xml:space="preserve">Agent-based simulation enables modeling of autonomous, adaptive entities within organizational systems</w:t>
      </w:r>
      <w:r>
        <w:t xml:space="preserve"> </w:t>
      </w:r>
      <w:hyperlink w:anchor="ref-hussein2024">
        <w:r>
          <w:rPr>
            <w:rStyle w:val="Hyperlink"/>
          </w:rPr>
          <w:t xml:space="preserve">[24]</w:t>
        </w:r>
      </w:hyperlink>
      <w:r>
        <w:t xml:space="preserve">. Autonomous agents representing business units, supply chain participants, or autonomous systems make independent decisions based on local information and environmental conditions, creating emergent organizational behaviors</w:t>
      </w:r>
      <w:r>
        <w:t xml:space="preserve"> </w:t>
      </w:r>
      <w:hyperlink w:anchor="ref-hussein2024">
        <w:r>
          <w:rPr>
            <w:rStyle w:val="Hyperlink"/>
          </w:rPr>
          <w:t xml:space="preserve">[24]</w:t>
        </w:r>
      </w:hyperlink>
      <w:r>
        <w:t xml:space="preserve">. The agent-based approach captures organizational complexity arising from distributed decision-making and inter-agent coordination challenges</w:t>
      </w:r>
      <w:r>
        <w:t xml:space="preserve"> </w:t>
      </w:r>
      <w:hyperlink w:anchor="ref-hussein2024">
        <w:r>
          <w:rPr>
            <w:rStyle w:val="Hyperlink"/>
          </w:rPr>
          <w:t xml:space="preserve">[24]</w:t>
        </w:r>
      </w:hyperlink>
      <w:r>
        <w:t xml:space="preserve">.</w:t>
      </w:r>
    </w:p>
    <w:p>
      <w:pPr>
        <w:pStyle w:val="Heading3"/>
      </w:pPr>
      <w:r>
        <w:rPr>
          <w:b/>
          <w:bCs/>
        </w:rPr>
        <w:t xml:space="preserve">4.3 Real-Time Synchronization and Continuous Model Updating</w:t>
      </w:r>
    </w:p>
    <w:p>
      <w:pPr>
        <w:pStyle w:val="FirstParagraph"/>
      </w:pPr>
      <w:r>
        <w:t xml:space="preserve">Achieving real-time synchronization between physical operations and digital simulations represents a critical capability differentiating enterprise digital twins from traditional offline simulations</w:t>
      </w:r>
      <w:r>
        <w:t xml:space="preserve"> </w:t>
      </w:r>
      <w:hyperlink w:anchor="ref-jaffer2026">
        <w:r>
          <w:rPr>
            <w:rStyle w:val="Hyperlink"/>
          </w:rPr>
          <w:t xml:space="preserve">[25]</w:t>
        </w:r>
      </w:hyperlink>
      <w:r>
        <w:t xml:space="preserve">. Real-time digital twin systems continuously stream current operational data into simulation engines, calculate system state changes, and update virtual representations with minimal latency (typically within milliseconds to seconds depending on application requirements)</w:t>
      </w:r>
      <w:r>
        <w:t xml:space="preserve"> </w:t>
      </w:r>
      <w:hyperlink w:anchor="ref-jaffer2026">
        <w:r>
          <w:rPr>
            <w:rStyle w:val="Hyperlink"/>
          </w:rPr>
          <w:t xml:space="preserve">[25]</w:t>
        </w:r>
      </w:hyperlink>
      <w:r>
        <w:t xml:space="preserve">.</w:t>
      </w:r>
    </w:p>
    <w:p>
      <w:pPr>
        <w:pStyle w:val="BodyText"/>
      </w:pPr>
      <w:r>
        <w:t xml:space="preserve">Model parameter calibration and updating must occur dynamically as new operational data arrives</w:t>
      </w:r>
      <w:r>
        <w:t xml:space="preserve"> </w:t>
      </w:r>
      <w:hyperlink w:anchor="ref-jaffer2026">
        <w:r>
          <w:rPr>
            <w:rStyle w:val="Hyperlink"/>
          </w:rPr>
          <w:t xml:space="preserve">[25]</w:t>
        </w:r>
      </w:hyperlink>
      <w:r>
        <w:t xml:space="preserve">. Automated calibration approaches employ optimization algorithms to adjust model parameters until simulation outputs match observed operational data</w:t>
      </w:r>
      <w:r>
        <w:t xml:space="preserve"> </w:t>
      </w:r>
      <w:hyperlink w:anchor="ref-hui2025">
        <w:r>
          <w:rPr>
            <w:rStyle w:val="Hyperlink"/>
          </w:rPr>
          <w:t xml:space="preserve">[15]</w:t>
        </w:r>
      </w:hyperlink>
      <w:r>
        <w:t xml:space="preserve">. This continuous calibration process maintains model accuracy as organizational systems drift due to equipment aging, personnel changes, or procedural modifications</w:t>
      </w:r>
      <w:r>
        <w:t xml:space="preserve"> </w:t>
      </w:r>
      <w:hyperlink w:anchor="ref-hui2025">
        <w:r>
          <w:rPr>
            <w:rStyle w:val="Hyperlink"/>
          </w:rPr>
          <w:t xml:space="preserve">[15]</w:t>
        </w:r>
      </w:hyperlink>
      <w:r>
        <w:t xml:space="preserve">.</w:t>
      </w:r>
    </w:p>
    <w:p>
      <w:r>
        <w:pict>
          <v:rect style="width:0;height:1.5pt" o:hralign="center" o:hrstd="t" o:hr="t"/>
        </w:pict>
      </w:r>
    </w:p>
    <w:p>
      <w:pPr>
        <w:pStyle w:val="Heading2"/>
      </w:pPr>
      <w:r>
        <w:rPr>
          <w:b/>
          <w:bCs/>
        </w:rPr>
        <w:t xml:space="preserve">5. AI and Machine Learning Techniques for Enterprise Digital Twins</w:t>
      </w:r>
    </w:p>
    <w:p>
      <w:pPr>
        <w:pStyle w:val="Heading3"/>
      </w:pPr>
      <w:r>
        <w:rPr>
          <w:b/>
          <w:bCs/>
        </w:rPr>
        <w:t xml:space="preserve">5.1 Predictive Analytics and Forecasting</w:t>
      </w:r>
    </w:p>
    <w:p>
      <w:pPr>
        <w:pStyle w:val="FirstParagraph"/>
      </w:pPr>
      <w:r>
        <w:t xml:space="preserve">Machine learning models embedded within enterprise digital twins enable sophisticated predictive capabilities, from demand forecasting to equipment failure prediction to organizational performance projections</w:t>
      </w:r>
      <w:r>
        <w:t xml:space="preserve"> </w:t>
      </w:r>
      <w:hyperlink w:anchor="ref-paniteja2025">
        <w:r>
          <w:rPr>
            <w:rStyle w:val="Hyperlink"/>
          </w:rPr>
          <w:t xml:space="preserve">[26]</w:t>
        </w:r>
      </w:hyperlink>
      <w:r>
        <w:t xml:space="preserve">. Long Short-Term Memory (LSTM) networks prove particularly effective for time-series forecasting in enterprise contexts, capturing temporal dependencies in operational data while maintaining reasonable computational requirements</w:t>
      </w:r>
      <w:r>
        <w:t xml:space="preserve"> </w:t>
      </w:r>
      <w:hyperlink w:anchor="ref-paniteja2025">
        <w:r>
          <w:rPr>
            <w:rStyle w:val="Hyperlink"/>
          </w:rPr>
          <w:t xml:space="preserve">[26]</w:t>
        </w:r>
      </w:hyperlink>
      <w:r>
        <w:t xml:space="preserve">. LSTM models have achieved 94% accuracy in water demand forecasting and similar performance levels across diverse enterprise forecasting tasks</w:t>
      </w:r>
      <w:r>
        <w:t xml:space="preserve"> </w:t>
      </w:r>
      <w:hyperlink w:anchor="ref-paniteja2025">
        <w:r>
          <w:rPr>
            <w:rStyle w:val="Hyperlink"/>
          </w:rPr>
          <w:t xml:space="preserve">[26]</w:t>
        </w:r>
      </w:hyperlink>
      <w:r>
        <w:t xml:space="preserve">.</w:t>
      </w:r>
    </w:p>
    <w:p>
      <w:pPr>
        <w:pStyle w:val="BodyText"/>
      </w:pPr>
      <w:r>
        <w:t xml:space="preserve">Ensemble methods combining multiple models typically outperform single models, leveraging diverse modeling paradigms to capture different aspects of complex enterprise systems</w:t>
      </w:r>
      <w:r>
        <w:t xml:space="preserve"> </w:t>
      </w:r>
      <w:hyperlink w:anchor="ref-paniteja2025">
        <w:r>
          <w:rPr>
            <w:rStyle w:val="Hyperlink"/>
          </w:rPr>
          <w:t xml:space="preserve">[26]</w:t>
        </w:r>
      </w:hyperlink>
      <w:r>
        <w:t xml:space="preserve">. Random forests, gradient boosting machines, and neural network ensembles provide robust predictions even when underlying system dynamics shift or exhibit regime changes</w:t>
      </w:r>
      <w:r>
        <w:t xml:space="preserve"> </w:t>
      </w:r>
      <w:hyperlink w:anchor="ref-paniteja2025">
        <w:r>
          <w:rPr>
            <w:rStyle w:val="Hyperlink"/>
          </w:rPr>
          <w:t xml:space="preserve">[26]</w:t>
        </w:r>
      </w:hyperlink>
      <w:r>
        <w:t xml:space="preserve">.</w:t>
      </w:r>
    </w:p>
    <w:p>
      <w:pPr>
        <w:pStyle w:val="Heading3"/>
      </w:pPr>
      <w:r>
        <w:rPr>
          <w:b/>
          <w:bCs/>
        </w:rPr>
        <w:t xml:space="preserve">5.2 Anomaly Detection and Fault Diagnosis</w:t>
      </w:r>
    </w:p>
    <w:p>
      <w:pPr>
        <w:pStyle w:val="FirstParagraph"/>
      </w:pPr>
      <w:r>
        <w:t xml:space="preserve">Advanced anomaly detection techniques embedded in digital twins enable early warning of operational disruptions, equipment failures, and market anomalies</w:t>
      </w:r>
      <w:r>
        <w:t xml:space="preserve"> </w:t>
      </w:r>
      <w:hyperlink w:anchor="ref-w2025">
        <w:r>
          <w:rPr>
            <w:rStyle w:val="Hyperlink"/>
          </w:rPr>
          <w:t xml:space="preserve">[27]</w:t>
        </w:r>
      </w:hyperlink>
      <w:r>
        <w:t xml:space="preserve">. Machine learning approaches employ isolation forests, autoencoders, and variational autoencoders to identify unusual patterns in high-dimensional operational data</w:t>
      </w:r>
      <w:r>
        <w:t xml:space="preserve"> </w:t>
      </w:r>
      <w:hyperlink w:anchor="ref-w2025">
        <w:r>
          <w:rPr>
            <w:rStyle w:val="Hyperlink"/>
          </w:rPr>
          <w:t xml:space="preserve">[27]</w:t>
        </w:r>
      </w:hyperlink>
      <w:r>
        <w:t xml:space="preserve">. These data-driven techniques require no pre-specification of anomaly types, discovering novel failure modes and organizational disruptions</w:t>
      </w:r>
      <w:r>
        <w:t xml:space="preserve"> </w:t>
      </w:r>
      <w:hyperlink w:anchor="ref-w2025">
        <w:r>
          <w:rPr>
            <w:rStyle w:val="Hyperlink"/>
          </w:rPr>
          <w:t xml:space="preserve">[27]</w:t>
        </w:r>
      </w:hyperlink>
      <w:r>
        <w:t xml:space="preserve">.</w:t>
      </w:r>
    </w:p>
    <w:p>
      <w:pPr>
        <w:pStyle w:val="BodyText"/>
      </w:pPr>
      <w:r>
        <w:t xml:space="preserve">Multi-stage anomaly detection architectures combine multiple detection methods, integrating sequence modeling with statistical process control and explicit operating envelope constraints</w:t>
      </w:r>
      <w:r>
        <w:t xml:space="preserve"> </w:t>
      </w:r>
      <w:hyperlink w:anchor="ref-w2025">
        <w:r>
          <w:rPr>
            <w:rStyle w:val="Hyperlink"/>
          </w:rPr>
          <w:t xml:space="preserve">[27]</w:t>
        </w:r>
      </w:hyperlink>
      <w:r>
        <w:t xml:space="preserve">. This layered approach achieves both high detection rates for known anomaly types while remaining responsive to novel, previously unseen operational problems</w:t>
      </w:r>
      <w:r>
        <w:t xml:space="preserve"> </w:t>
      </w:r>
      <w:hyperlink w:anchor="ref-w2025">
        <w:r>
          <w:rPr>
            <w:rStyle w:val="Hyperlink"/>
          </w:rPr>
          <w:t xml:space="preserve">[27]</w:t>
        </w:r>
      </w:hyperlink>
      <w:r>
        <w:t xml:space="preserve">.</w:t>
      </w:r>
    </w:p>
    <w:p>
      <w:pPr>
        <w:pStyle w:val="Heading3"/>
      </w:pPr>
      <w:r>
        <w:rPr>
          <w:b/>
          <w:bCs/>
        </w:rPr>
        <w:t xml:space="preserve">5.3 Reinforcement Learning for Autonomous Decision-Making</w:t>
      </w:r>
    </w:p>
    <w:p>
      <w:pPr>
        <w:pStyle w:val="FirstParagraph"/>
      </w:pPr>
      <w:r>
        <w:t xml:space="preserve">Reinforcement learning agents operating within digital twin environments learn optimal policies for complex organizational decisions through millions of simulated scenarios</w:t>
      </w:r>
      <w:r>
        <w:t xml:space="preserve"> </w:t>
      </w:r>
      <w:hyperlink w:anchor="ref-d2024">
        <w:r>
          <w:rPr>
            <w:rStyle w:val="Hyperlink"/>
          </w:rPr>
          <w:t xml:space="preserve">[23]</w:t>
        </w:r>
      </w:hyperlink>
      <w:r>
        <w:t xml:space="preserve">. These agents can optimize production scheduling, resource allocation, maintenance timing, and supply chain decisions without explicit programming of decision rules</w:t>
      </w:r>
      <w:r>
        <w:t xml:space="preserve"> </w:t>
      </w:r>
      <w:hyperlink w:anchor="ref-d2024">
        <w:r>
          <w:rPr>
            <w:rStyle w:val="Hyperlink"/>
          </w:rPr>
          <w:t xml:space="preserve">[23]</w:t>
        </w:r>
      </w:hyperlink>
      <w:r>
        <w:t xml:space="preserve">. Asynchronous Advantage Actor-Critic (A3C) and Proximal Policy Optimization (PPO) algorithms enable scalable training across distributed digital twin instances</w:t>
      </w:r>
      <w:r>
        <w:t xml:space="preserve"> </w:t>
      </w:r>
      <w:hyperlink w:anchor="ref-d2024">
        <w:r>
          <w:rPr>
            <w:rStyle w:val="Hyperlink"/>
          </w:rPr>
          <w:t xml:space="preserve">[23]</w:t>
        </w:r>
      </w:hyperlink>
      <w:r>
        <w:t xml:space="preserve">.</w:t>
      </w:r>
    </w:p>
    <w:p>
      <w:pPr>
        <w:pStyle w:val="BodyText"/>
      </w:pPr>
      <w:r>
        <w:t xml:space="preserve">The digital twin environment provides a safe training ground for autonomous decision systems, allowing exhaustive exploration of decision policies before deployment to physical operations</w:t>
      </w:r>
      <w:r>
        <w:t xml:space="preserve"> </w:t>
      </w:r>
      <w:hyperlink w:anchor="ref-d2024">
        <w:r>
          <w:rPr>
            <w:rStyle w:val="Hyperlink"/>
          </w:rPr>
          <w:t xml:space="preserve">[23]</w:t>
        </w:r>
      </w:hyperlink>
      <w:r>
        <w:t xml:space="preserve">. This capability proves invaluable for complex organizational decisions where trial-and-error learning in production systems carries unacceptable risks and costs</w:t>
      </w:r>
      <w:r>
        <w:t xml:space="preserve"> </w:t>
      </w:r>
      <w:hyperlink w:anchor="ref-d2024">
        <w:r>
          <w:rPr>
            <w:rStyle w:val="Hyperlink"/>
          </w:rPr>
          <w:t xml:space="preserve">[23]</w:t>
        </w:r>
      </w:hyperlink>
      <w:r>
        <w:t xml:space="preserve">.</w:t>
      </w:r>
    </w:p>
    <w:p>
      <w:pPr>
        <w:pStyle w:val="Heading3"/>
      </w:pPr>
      <w:r>
        <w:rPr>
          <w:b/>
          <w:bCs/>
        </w:rPr>
        <w:t xml:space="preserve">5.4 Generative AI and Large Language Models for Decision Support</w:t>
      </w:r>
    </w:p>
    <w:p>
      <w:pPr>
        <w:pStyle w:val="FirstParagraph"/>
      </w:pPr>
      <w:r>
        <w:t xml:space="preserve">Emerging applications of generative AI and large language models (LLMs) enhance digital twin interpretability and decision support capabilities</w:t>
      </w:r>
      <w:r>
        <w:t xml:space="preserve"> </w:t>
      </w:r>
      <w:hyperlink w:anchor="ref-gabriel2025">
        <w:r>
          <w:rPr>
            <w:rStyle w:val="Hyperlink"/>
          </w:rPr>
          <w:t xml:space="preserve">[28]</w:t>
        </w:r>
      </w:hyperlink>
      <w:r>
        <w:t xml:space="preserve">. LLMs can translate complex simulation outputs into natural language summaries, explain causal relationships between operational factors and outcomes, and generate hypothetical scenarios for strategic planning</w:t>
      </w:r>
      <w:r>
        <w:t xml:space="preserve"> </w:t>
      </w:r>
      <w:hyperlink w:anchor="ref-gabriel2025">
        <w:r>
          <w:rPr>
            <w:rStyle w:val="Hyperlink"/>
          </w:rPr>
          <w:t xml:space="preserve">[28]</w:t>
        </w:r>
      </w:hyperlink>
      <w:r>
        <w:t xml:space="preserve">. These capabilities make sophisticated digital twin analysis accessible to non-technical decision-makers</w:t>
      </w:r>
      <w:r>
        <w:t xml:space="preserve"> </w:t>
      </w:r>
      <w:hyperlink w:anchor="ref-gabriel2025">
        <w:r>
          <w:rPr>
            <w:rStyle w:val="Hyperlink"/>
          </w:rPr>
          <w:t xml:space="preserve">[28]</w:t>
        </w:r>
      </w:hyperlink>
      <w:r>
        <w:t xml:space="preserve">.</w:t>
      </w:r>
    </w:p>
    <w:p>
      <w:pPr>
        <w:pStyle w:val="BodyText"/>
      </w:pPr>
      <w:r>
        <w:t xml:space="preserve">Agentic digital twins, which integrate LLMs as autonomous agents within digital twin environments, represent a frontier where generative AI autonomously conducts complex analyses and recommends organizational decisions</w:t>
      </w:r>
      <w:r>
        <w:t xml:space="preserve"> </w:t>
      </w:r>
      <w:hyperlink w:anchor="ref-gabriel2025">
        <w:r>
          <w:rPr>
            <w:rStyle w:val="Hyperlink"/>
          </w:rPr>
          <w:t xml:space="preserve">[28]</w:t>
        </w:r>
      </w:hyperlink>
      <w:r>
        <w:t xml:space="preserve">. These systems can interpret unstructured information (emails, reports, social media), reason about strategic implications, and surface relevant organizational insights</w:t>
      </w:r>
      <w:r>
        <w:t xml:space="preserve"> </w:t>
      </w:r>
      <w:hyperlink w:anchor="ref-gabriel2025">
        <w:r>
          <w:rPr>
            <w:rStyle w:val="Hyperlink"/>
          </w:rPr>
          <w:t xml:space="preserve">[28]</w:t>
        </w:r>
      </w:hyperlink>
      <w:r>
        <w:t xml:space="preserve">.</w:t>
      </w:r>
    </w:p>
    <w:p>
      <w:r>
        <w:pict>
          <v:rect style="width:0;height:1.5pt" o:hralign="center" o:hrstd="t" o:hr="t"/>
        </w:pict>
      </w:r>
    </w:p>
    <w:p>
      <w:pPr>
        <w:pStyle w:val="Heading2"/>
      </w:pPr>
      <w:r>
        <w:rPr>
          <w:b/>
          <w:bCs/>
        </w:rPr>
        <w:t xml:space="preserve">6. Enterprise Digital Twin Applications for Organizational Performance Forecasting and Decision Support</w:t>
      </w:r>
    </w:p>
    <w:p>
      <w:pPr>
        <w:pStyle w:val="Heading3"/>
      </w:pPr>
      <w:r>
        <w:rPr>
          <w:b/>
          <w:bCs/>
        </w:rPr>
        <w:t xml:space="preserve">6.1 Financial and Operational Performance Prediction</w:t>
      </w:r>
    </w:p>
    <w:p>
      <w:pPr>
        <w:pStyle w:val="FirstParagraph"/>
      </w:pPr>
      <w:r>
        <w:t xml:space="preserve">Enterprise digital twins enable sophisticated forecasting of organizational financial and operational performance by integrating market data, operational metrics, and strategic initiatives into unified simulation environments</w:t>
      </w:r>
      <w:r>
        <w:t xml:space="preserve"> </w:t>
      </w:r>
      <w:hyperlink w:anchor="ref-i2025a">
        <w:r>
          <w:rPr>
            <w:rStyle w:val="Hyperlink"/>
          </w:rPr>
          <w:t xml:space="preserve">[29]</w:t>
        </w:r>
      </w:hyperlink>
      <w:r>
        <w:t xml:space="preserve">. Digital twin simulations of hospitality operations predicted occupancy patterns with R² correlation of 0.86, energy consumption within 8.3% accuracy, and staff efficiency improvements of 14.7%, demonstrating the predictive accuracy achievable in complex service organizations</w:t>
      </w:r>
      <w:r>
        <w:t xml:space="preserve"> </w:t>
      </w:r>
      <w:hyperlink w:anchor="ref-i2025a">
        <w:r>
          <w:rPr>
            <w:rStyle w:val="Hyperlink"/>
          </w:rPr>
          <w:t xml:space="preserve">[29]</w:t>
        </w:r>
      </w:hyperlink>
      <w:r>
        <w:t xml:space="preserve">.</w:t>
      </w:r>
    </w:p>
    <w:p>
      <w:pPr>
        <w:pStyle w:val="BodyText"/>
      </w:pPr>
      <w:r>
        <w:t xml:space="preserve">Financial digital twins integrating customer data, transaction histories, and behavioral models enable real-time performance monitoring and forward-looking financial projections</w:t>
      </w:r>
      <w:r>
        <w:t xml:space="preserve"> </w:t>
      </w:r>
      <w:hyperlink w:anchor="ref-raghu2025">
        <w:r>
          <w:rPr>
            <w:rStyle w:val="Hyperlink"/>
          </w:rPr>
          <w:t xml:space="preserve">[30]</w:t>
        </w:r>
      </w:hyperlink>
      <w:r>
        <w:t xml:space="preserve">. These systems achieve 30-40% improvements in customer experience metrics while reducing operational risk exposure by integrating predictive models throughout organizational decision processes</w:t>
      </w:r>
      <w:r>
        <w:t xml:space="preserve"> </w:t>
      </w:r>
      <w:hyperlink w:anchor="ref-raghu2025">
        <w:r>
          <w:rPr>
            <w:rStyle w:val="Hyperlink"/>
          </w:rPr>
          <w:t xml:space="preserve">[30]</w:t>
        </w:r>
      </w:hyperlink>
      <w:r>
        <w:t xml:space="preserve">.</w:t>
      </w:r>
    </w:p>
    <w:p>
      <w:pPr>
        <w:pStyle w:val="Heading3"/>
      </w:pPr>
      <w:r>
        <w:rPr>
          <w:b/>
          <w:bCs/>
        </w:rPr>
        <w:t xml:space="preserve">6.2 Supply Chain and Logistics Optimization</w:t>
      </w:r>
    </w:p>
    <w:p>
      <w:pPr>
        <w:pStyle w:val="FirstParagraph"/>
      </w:pPr>
      <w:r>
        <w:t xml:space="preserve">Digital twins enable end-to-end supply chain simulation, integrating procurement, manufacturing, inventory, and distribution networks into unified optimization frameworks</w:t>
      </w:r>
      <w:r>
        <w:t xml:space="preserve"> </w:t>
      </w:r>
      <w:hyperlink w:anchor="ref-shah2024">
        <w:r>
          <w:rPr>
            <w:rStyle w:val="Hyperlink"/>
          </w:rPr>
          <w:t xml:space="preserve">[13]</w:t>
        </w:r>
      </w:hyperlink>
      <w:r>
        <w:t xml:space="preserve">. These integrated twins identify bottlenecks, predict demand fluctuations, and recommend inventory policies that balance service levels with carrying costs</w:t>
      </w:r>
      <w:r>
        <w:t xml:space="preserve"> </w:t>
      </w:r>
      <w:hyperlink w:anchor="ref-shah2024">
        <w:r>
          <w:rPr>
            <w:rStyle w:val="Hyperlink"/>
          </w:rPr>
          <w:t xml:space="preserve">[13]</w:t>
        </w:r>
      </w:hyperlink>
      <w:r>
        <w:t xml:space="preserve">. Graph-based digital twin frameworks capturing complex supply chain dependencies achieved significantly improved scalability compared to traditional simulation approaches while enabling proactive disruption management</w:t>
      </w:r>
      <w:r>
        <w:t xml:space="preserve"> </w:t>
      </w:r>
      <w:hyperlink w:anchor="ref-azmine2025">
        <w:r>
          <w:rPr>
            <w:rStyle w:val="Hyperlink"/>
          </w:rPr>
          <w:t xml:space="preserve">[31]</w:t>
        </w:r>
      </w:hyperlink>
      <w:r>
        <w:t xml:space="preserve">.</w:t>
      </w:r>
    </w:p>
    <w:p>
      <w:pPr>
        <w:pStyle w:val="BodyText"/>
      </w:pPr>
      <w:r>
        <w:t xml:space="preserve">Autonomous agents within supply chain digital twins make dynamic pricing decisions, allocate inventory across distribution networks, and coordinate supplier relationships based on real-time market conditions</w:t>
      </w:r>
      <w:r>
        <w:t xml:space="preserve"> </w:t>
      </w:r>
      <w:hyperlink w:anchor="ref-shah2024">
        <w:r>
          <w:rPr>
            <w:rStyle w:val="Hyperlink"/>
          </w:rPr>
          <w:t xml:space="preserve">[13]</w:t>
        </w:r>
      </w:hyperlink>
      <w:r>
        <w:t xml:space="preserve">. These AI-driven decision agents learn from millions of simulated supply chain scenarios, discovering strategies that outperform human-designed policies</w:t>
      </w:r>
      <w:r>
        <w:t xml:space="preserve"> </w:t>
      </w:r>
      <w:hyperlink w:anchor="ref-shah2024">
        <w:r>
          <w:rPr>
            <w:rStyle w:val="Hyperlink"/>
          </w:rPr>
          <w:t xml:space="preserve">[13]</w:t>
        </w:r>
      </w:hyperlink>
      <w:r>
        <w:t xml:space="preserve">.</w:t>
      </w:r>
    </w:p>
    <w:p>
      <w:pPr>
        <w:pStyle w:val="Heading3"/>
      </w:pPr>
      <w:r>
        <w:rPr>
          <w:b/>
          <w:bCs/>
        </w:rPr>
        <w:t xml:space="preserve">6.3 Executive Decision Support and Strategic Planning</w:t>
      </w:r>
    </w:p>
    <w:p>
      <w:pPr>
        <w:pStyle w:val="FirstParagraph"/>
      </w:pPr>
      <w:r>
        <w:t xml:space="preserve">Digital twins transform executive decision-making by enabling rapid evaluation of strategic alternatives through simulation rather than intuition or historical analysis</w:t>
      </w:r>
      <w:r>
        <w:t xml:space="preserve"> </w:t>
      </w:r>
      <w:hyperlink w:anchor="ref-souvik2022">
        <w:r>
          <w:rPr>
            <w:rStyle w:val="Hyperlink"/>
          </w:rPr>
          <w:t xml:space="preserve">[2]</w:t>
        </w:r>
      </w:hyperlink>
      <w:r>
        <w:t xml:space="preserve">. Organizations can simulate the organizational and market impacts of proposed business strategies before implementation, quantifying tradeoffs between customer satisfaction, operational efficiency, and financial performance</w:t>
      </w:r>
      <w:r>
        <w:t xml:space="preserve"> </w:t>
      </w:r>
      <w:hyperlink w:anchor="ref-souvik2022">
        <w:r>
          <w:rPr>
            <w:rStyle w:val="Hyperlink"/>
          </w:rPr>
          <w:t xml:space="preserve">[2]</w:t>
        </w:r>
      </w:hyperlink>
      <w:r>
        <w:t xml:space="preserve">. This evidence-based approach to strategic decision-making represents a fundamental shift from traditional intuition-based approaches</w:t>
      </w:r>
      <w:r>
        <w:t xml:space="preserve"> </w:t>
      </w:r>
      <w:hyperlink w:anchor="ref-souvik2022">
        <w:r>
          <w:rPr>
            <w:rStyle w:val="Hyperlink"/>
          </w:rPr>
          <w:t xml:space="preserve">[2]</w:t>
        </w:r>
      </w:hyperlink>
      <w:r>
        <w:t xml:space="preserve">.</w:t>
      </w:r>
    </w:p>
    <w:p>
      <w:pPr>
        <w:pStyle w:val="BodyText"/>
      </w:pPr>
      <w:r>
        <w:t xml:space="preserve">What-if scenario analysis enabled by digital twins allows executives to explore uncertain futures and stress-test strategies against adverse conditions</w:t>
      </w:r>
      <w:r>
        <w:t xml:space="preserve"> </w:t>
      </w:r>
      <w:hyperlink w:anchor="ref-souvik2022">
        <w:r>
          <w:rPr>
            <w:rStyle w:val="Hyperlink"/>
          </w:rPr>
          <w:t xml:space="preserve">[2]</w:t>
        </w:r>
      </w:hyperlink>
      <w:r>
        <w:t xml:space="preserve">. By simulating thousands of scenarios reflecting uncertainty in market conditions, operational parameters, and strategic initiatives, executives gain confidence in strategy robustness while identifying critical vulnerabilities</w:t>
      </w:r>
      <w:r>
        <w:t xml:space="preserve"> </w:t>
      </w:r>
      <w:hyperlink w:anchor="ref-souvik2022">
        <w:r>
          <w:rPr>
            <w:rStyle w:val="Hyperlink"/>
          </w:rPr>
          <w:t xml:space="preserve">[2]</w:t>
        </w:r>
      </w:hyperlink>
      <w:r>
        <w:t xml:space="preserve">.</w:t>
      </w:r>
    </w:p>
    <w:p>
      <w:pPr>
        <w:pStyle w:val="Heading3"/>
      </w:pPr>
      <w:r>
        <w:rPr>
          <w:b/>
          <w:bCs/>
        </w:rPr>
        <w:t xml:space="preserve">6.4 Organizational Transformation and Change Management</w:t>
      </w:r>
    </w:p>
    <w:p>
      <w:pPr>
        <w:pStyle w:val="FirstParagraph"/>
      </w:pPr>
      <w:r>
        <w:t xml:space="preserve">Digital twins enable risk-free exploration of organizational changes including restructuring, process modifications, technology implementations, and cultural transformations</w:t>
      </w:r>
      <w:r>
        <w:t xml:space="preserve"> </w:t>
      </w:r>
      <w:hyperlink w:anchor="ref-souvik2022">
        <w:r>
          <w:rPr>
            <w:rStyle w:val="Hyperlink"/>
          </w:rPr>
          <w:t xml:space="preserve">[2]</w:t>
        </w:r>
      </w:hyperlink>
      <w:r>
        <w:t xml:space="preserve">. Organizations can simulate the human, operational, and financial impacts of proposed changes before implementation, identifying unintended consequences and optimizing change management approaches</w:t>
      </w:r>
      <w:r>
        <w:t xml:space="preserve"> </w:t>
      </w:r>
      <w:hyperlink w:anchor="ref-souvik2022">
        <w:r>
          <w:rPr>
            <w:rStyle w:val="Hyperlink"/>
          </w:rPr>
          <w:t xml:space="preserve">[2]</w:t>
        </w:r>
      </w:hyperlink>
      <w:r>
        <w:t xml:space="preserve">. This capability proves particularly valuable for large, complex organizations where change initiatives carry substantial execution risks</w:t>
      </w:r>
      <w:r>
        <w:t xml:space="preserve"> </w:t>
      </w:r>
      <w:hyperlink w:anchor="ref-souvik2022">
        <w:r>
          <w:rPr>
            <w:rStyle w:val="Hyperlink"/>
          </w:rPr>
          <w:t xml:space="preserve">[2]</w:t>
        </w:r>
      </w:hyperlink>
      <w:r>
        <w:t xml:space="preserve">.</w:t>
      </w:r>
    </w:p>
    <w:p>
      <w:r>
        <w:pict>
          <v:rect style="width:0;height:1.5pt" o:hralign="center" o:hrstd="t" o:hr="t"/>
        </w:pict>
      </w:r>
    </w:p>
    <w:p>
      <w:pPr>
        <w:pStyle w:val="Heading2"/>
      </w:pPr>
      <w:r>
        <w:rPr>
          <w:b/>
          <w:bCs/>
        </w:rPr>
        <w:t xml:space="preserve">7. Cyber-Physical Digital Twin Ecosystems</w:t>
      </w:r>
    </w:p>
    <w:p>
      <w:pPr>
        <w:pStyle w:val="Heading3"/>
      </w:pPr>
      <w:r>
        <w:rPr>
          <w:b/>
          <w:bCs/>
        </w:rPr>
        <w:t xml:space="preserve">7.1 System-of-Systems Integration</w:t>
      </w:r>
    </w:p>
    <w:p>
      <w:pPr>
        <w:pStyle w:val="FirstParagraph"/>
      </w:pPr>
      <w:r>
        <w:t xml:space="preserve">Enterprise digital twins increasingly function as cyber-physical systems of systems, integrating multiple specialized digital twins representing different organizational domains and physical systems</w:t>
      </w:r>
      <w:r>
        <w:t xml:space="preserve"> </w:t>
      </w:r>
      <w:hyperlink w:anchor="ref-cheng2024">
        <w:r>
          <w:rPr>
            <w:rStyle w:val="Hyperlink"/>
          </w:rPr>
          <w:t xml:space="preserve">[7]</w:t>
        </w:r>
      </w:hyperlink>
      <w:r>
        <w:t xml:space="preserve">. The data layer architecture enables these diverse twins to exchange information seamlessly despite underlying heterogeneity in data models, communication protocols, and computational platforms</w:t>
      </w:r>
      <w:r>
        <w:t xml:space="preserve"> </w:t>
      </w:r>
      <w:hyperlink w:anchor="ref-cheng2024">
        <w:r>
          <w:rPr>
            <w:rStyle w:val="Hyperlink"/>
          </w:rPr>
          <w:t xml:space="preserve">[7]</w:t>
        </w:r>
      </w:hyperlink>
      <w:r>
        <w:t xml:space="preserve">. This ecosystem approach enables holistic organizational visibility while maintaining modularity and independent evolution of domain-specific twins</w:t>
      </w:r>
      <w:r>
        <w:t xml:space="preserve"> </w:t>
      </w:r>
      <w:hyperlink w:anchor="ref-cheng2024">
        <w:r>
          <w:rPr>
            <w:rStyle w:val="Hyperlink"/>
          </w:rPr>
          <w:t xml:space="preserve">[7]</w:t>
        </w:r>
      </w:hyperlink>
      <w:r>
        <w:t xml:space="preserve">.</w:t>
      </w:r>
    </w:p>
    <w:p>
      <w:pPr>
        <w:pStyle w:val="BodyText"/>
      </w:pPr>
      <w:r>
        <w:t xml:space="preserve">Coupled digital twin architectures with semantic lifting enable reusable digital twin components that can be instantiated across multiple physical systems with consistent behavior</w:t>
      </w:r>
      <w:r>
        <w:t xml:space="preserve"> </w:t>
      </w:r>
      <w:hyperlink w:anchor="ref-santiago2024">
        <w:r>
          <w:rPr>
            <w:rStyle w:val="Hyperlink"/>
          </w:rPr>
          <w:t xml:space="preserve">[32]</w:t>
        </w:r>
      </w:hyperlink>
      <w:r>
        <w:t xml:space="preserve">. This approach reduces digital twin development costs and accelerates time-to-value by leveraging pre-built, validated twin components across the enterprise</w:t>
      </w:r>
      <w:r>
        <w:t xml:space="preserve"> </w:t>
      </w:r>
      <w:hyperlink w:anchor="ref-santiago2024">
        <w:r>
          <w:rPr>
            <w:rStyle w:val="Hyperlink"/>
          </w:rPr>
          <w:t xml:space="preserve">[32]</w:t>
        </w:r>
      </w:hyperlink>
      <w:r>
        <w:t xml:space="preserve">.</w:t>
      </w:r>
    </w:p>
    <w:p>
      <w:pPr>
        <w:pStyle w:val="Heading3"/>
      </w:pPr>
      <w:r>
        <w:rPr>
          <w:b/>
          <w:bCs/>
        </w:rPr>
        <w:t xml:space="preserve">7.2 Real-Time Monitoring and Control Integration</w:t>
      </w:r>
    </w:p>
    <w:p>
      <w:pPr>
        <w:pStyle w:val="FirstParagraph"/>
      </w:pPr>
      <w:r>
        <w:t xml:space="preserve">Cyber-physical digital twin ecosystems implement bidirectional communication and control, enabling digital twins not merely to observe physical systems but to actively influence operations through control commands</w:t>
      </w:r>
      <w:r>
        <w:t xml:space="preserve"> </w:t>
      </w:r>
      <w:hyperlink w:anchor="ref-a2025">
        <w:r>
          <w:rPr>
            <w:rStyle w:val="Hyperlink"/>
          </w:rPr>
          <w:t xml:space="preserve">[33]</w:t>
        </w:r>
      </w:hyperlink>
      <w:r>
        <w:t xml:space="preserve">. Intelligent acting digital twins (IADTs) represent an evolution beyond passive monitoring, allowing virtual models to autonomously control physical counterparts based on optimization objectives and real-time conditions</w:t>
      </w:r>
      <w:r>
        <w:t xml:space="preserve"> </w:t>
      </w:r>
      <w:hyperlink w:anchor="ref-a2025">
        <w:r>
          <w:rPr>
            <w:rStyle w:val="Hyperlink"/>
          </w:rPr>
          <w:t xml:space="preserve">[33]</w:t>
        </w:r>
      </w:hyperlink>
      <w:r>
        <w:t xml:space="preserve">. This capability enables autonomous optimization of complex industrial and organizational systems</w:t>
      </w:r>
      <w:r>
        <w:t xml:space="preserve"> </w:t>
      </w:r>
      <w:hyperlink w:anchor="ref-a2025">
        <w:r>
          <w:rPr>
            <w:rStyle w:val="Hyperlink"/>
          </w:rPr>
          <w:t xml:space="preserve">[33]</w:t>
        </w:r>
      </w:hyperlink>
      <w:r>
        <w:t xml:space="preserve">.</w:t>
      </w:r>
    </w:p>
    <w:p>
      <w:pPr>
        <w:pStyle w:val="Heading3"/>
      </w:pPr>
      <w:r>
        <w:rPr>
          <w:b/>
          <w:bCs/>
        </w:rPr>
        <w:t xml:space="preserve">7.3 Edge-Cloud Distributed Architectures</w:t>
      </w:r>
    </w:p>
    <w:p>
      <w:pPr>
        <w:pStyle w:val="FirstParagraph"/>
      </w:pPr>
      <w:r>
        <w:t xml:space="preserve">Enterprise digital twin ecosystems benefit from distributed edge-cloud architectures that balance real-time responsiveness with centralized intelligence and coordination</w:t>
      </w:r>
      <w:r>
        <w:t xml:space="preserve"> </w:t>
      </w:r>
      <w:hyperlink w:anchor="ref-s2025a">
        <w:r>
          <w:rPr>
            <w:rStyle w:val="Hyperlink"/>
          </w:rPr>
          <w:t xml:space="preserve">[8]</w:t>
        </w:r>
      </w:hyperlink>
      <w:r>
        <w:t xml:space="preserve">. Edge computing nodes deployed at operational facilities process real-time data locally, detecting anomalies and executing time-critical control decisions without network latency</w:t>
      </w:r>
      <w:r>
        <w:t xml:space="preserve"> </w:t>
      </w:r>
      <w:hyperlink w:anchor="ref-s2025a">
        <w:r>
          <w:rPr>
            <w:rStyle w:val="Hyperlink"/>
          </w:rPr>
          <w:t xml:space="preserve">[8]</w:t>
        </w:r>
      </w:hyperlink>
      <w:r>
        <w:t xml:space="preserve">. Cloud platforms maintain centralized intelligence, aggregate data across operational facilities, execute long-horizon simulations and optimizations, and coordinate enterprise-wide strategies</w:t>
      </w:r>
      <w:r>
        <w:t xml:space="preserve"> </w:t>
      </w:r>
      <w:hyperlink w:anchor="ref-s2025a">
        <w:r>
          <w:rPr>
            <w:rStyle w:val="Hyperlink"/>
          </w:rPr>
          <w:t xml:space="preserve">[8]</w:t>
        </w:r>
      </w:hyperlink>
      <w:r>
        <w:t xml:space="preserve">.</w:t>
      </w:r>
    </w:p>
    <w:p>
      <w:pPr>
        <w:pStyle w:val="BodyText"/>
      </w:pPr>
      <w:r>
        <w:t xml:space="preserve">This distributed approach enhances resilience—the system continues functioning with degraded capability if cloud connectivity is temporarily lost, while edge computing nodes continue local control and anomaly detection</w:t>
      </w:r>
      <w:r>
        <w:t xml:space="preserve"> </w:t>
      </w:r>
      <w:hyperlink w:anchor="ref-s2025a">
        <w:r>
          <w:rPr>
            <w:rStyle w:val="Hyperlink"/>
          </w:rPr>
          <w:t xml:space="preserve">[8]</w:t>
        </w:r>
      </w:hyperlink>
      <w:r>
        <w:t xml:space="preserve">. The architecture also addresses privacy concerns by maintaining sensitive operational data at edge nodes rather than centralizing all information in cloud repositories</w:t>
      </w:r>
      <w:r>
        <w:t xml:space="preserve"> </w:t>
      </w:r>
      <w:hyperlink w:anchor="ref-s2025a">
        <w:r>
          <w:rPr>
            <w:rStyle w:val="Hyperlink"/>
          </w:rPr>
          <w:t xml:space="preserve">[8]</w:t>
        </w:r>
      </w:hyperlink>
      <w:r>
        <w:t xml:space="preserve">.</w:t>
      </w:r>
    </w:p>
    <w:p>
      <w:r>
        <w:pict>
          <v:rect style="width:0;height:1.5pt" o:hralign="center" o:hrstd="t" o:hr="t"/>
        </w:pict>
      </w:r>
    </w:p>
    <w:p>
      <w:pPr>
        <w:pStyle w:val="Heading2"/>
      </w:pPr>
      <w:r>
        <w:rPr>
          <w:b/>
          <w:bCs/>
        </w:rPr>
        <w:t xml:space="preserve">8. Digital Engineering Environments for Digital Twin Development</w:t>
      </w:r>
    </w:p>
    <w:p>
      <w:pPr>
        <w:pStyle w:val="Heading3"/>
      </w:pPr>
      <w:r>
        <w:rPr>
          <w:b/>
          <w:bCs/>
        </w:rPr>
        <w:t xml:space="preserve">8.1 Digital Twin Development Platforms and Tools</w:t>
      </w:r>
    </w:p>
    <w:p>
      <w:pPr>
        <w:pStyle w:val="FirstParagraph"/>
      </w:pPr>
      <w:r>
        <w:t xml:space="preserve">Comprehensive digital twin development platforms have emerged providing integrated tools for simulation modeling, data integration, AI model development, and visualization</w:t>
      </w:r>
      <w:r>
        <w:t xml:space="preserve"> </w:t>
      </w:r>
      <w:hyperlink w:anchor="ref-md2025">
        <w:r>
          <w:rPr>
            <w:rStyle w:val="Hyperlink"/>
          </w:rPr>
          <w:t xml:space="preserve">[9]</w:t>
        </w:r>
      </w:hyperlink>
      <w:r>
        <w:t xml:space="preserve">. These platforms reduce development time and cost by providing pre-built components for common digital twin functions including data pipelines, simulation engines, and analytics modules</w:t>
      </w:r>
      <w:r>
        <w:t xml:space="preserve"> </w:t>
      </w:r>
      <w:hyperlink w:anchor="ref-md2025">
        <w:r>
          <w:rPr>
            <w:rStyle w:val="Hyperlink"/>
          </w:rPr>
          <w:t xml:space="preserve">[9]</w:t>
        </w:r>
      </w:hyperlink>
      <w:r>
        <w:t xml:space="preserve">. The ISO 23247 standard for digital twin reference architecture has begun providing guidance for interoperable platform design</w:t>
      </w:r>
      <w:r>
        <w:t xml:space="preserve"> </w:t>
      </w:r>
      <w:hyperlink w:anchor="ref-md2025">
        <w:r>
          <w:rPr>
            <w:rStyle w:val="Hyperlink"/>
          </w:rPr>
          <w:t xml:space="preserve">[9]</w:t>
        </w:r>
      </w:hyperlink>
      <w:r>
        <w:t xml:space="preserve">.</w:t>
      </w:r>
    </w:p>
    <w:p>
      <w:pPr>
        <w:pStyle w:val="BodyText"/>
      </w:pPr>
      <w:r>
        <w:t xml:space="preserve">Digital-Twin-as-a-Service (DTaaS) platforms enable rapid digital twin deployment by automating infrastructure provisioning, data pipeline configuration, and service orchestration</w:t>
      </w:r>
      <w:r>
        <w:t xml:space="preserve"> </w:t>
      </w:r>
      <w:hyperlink w:anchor="ref-philipp2024">
        <w:r>
          <w:rPr>
            <w:rStyle w:val="Hyperlink"/>
          </w:rPr>
          <w:t xml:space="preserve">[12]</w:t>
        </w:r>
      </w:hyperlink>
      <w:r>
        <w:t xml:space="preserve">. These platforms reduce the technical barrier to digital twin adoption, enabling organizations without specialized digital twin expertise to benefit from the technology</w:t>
      </w:r>
      <w:r>
        <w:t xml:space="preserve"> </w:t>
      </w:r>
      <w:hyperlink w:anchor="ref-philipp2024">
        <w:r>
          <w:rPr>
            <w:rStyle w:val="Hyperlink"/>
          </w:rPr>
          <w:t xml:space="preserve">[12]</w:t>
        </w:r>
      </w:hyperlink>
      <w:r>
        <w:t xml:space="preserve">.</w:t>
      </w:r>
    </w:p>
    <w:p>
      <w:pPr>
        <w:pStyle w:val="Heading3"/>
      </w:pPr>
      <w:r>
        <w:rPr>
          <w:b/>
          <w:bCs/>
        </w:rPr>
        <w:t xml:space="preserve">8.2 Model-Based Systems Engineering Integration</w:t>
      </w:r>
    </w:p>
    <w:p>
      <w:pPr>
        <w:pStyle w:val="FirstParagraph"/>
      </w:pPr>
      <w:r>
        <w:t xml:space="preserve">Model-Based Systems Engineering (MBSE) approaches provide systematic methodologies for digital twin development, ensuring comprehensive capture of system requirements and rigorous validation of digital twin specifications</w:t>
      </w:r>
      <w:r>
        <w:t xml:space="preserve"> </w:t>
      </w:r>
      <w:hyperlink w:anchor="ref-james2022">
        <w:r>
          <w:rPr>
            <w:rStyle w:val="Hyperlink"/>
          </w:rPr>
          <w:t xml:space="preserve">[34]</w:t>
        </w:r>
      </w:hyperlink>
      <w:r>
        <w:t xml:space="preserve">. MBSE frameworks guide the creation of digital twins through formal system modeling approaches, including specification of interfaces, functional requirements, and non-functional properties</w:t>
      </w:r>
      <w:r>
        <w:t xml:space="preserve"> </w:t>
      </w:r>
      <w:hyperlink w:anchor="ref-james2022">
        <w:r>
          <w:rPr>
            <w:rStyle w:val="Hyperlink"/>
          </w:rPr>
          <w:t xml:space="preserve">[34]</w:t>
        </w:r>
      </w:hyperlink>
      <w:r>
        <w:t xml:space="preserve">.</w:t>
      </w:r>
    </w:p>
    <w:p>
      <w:pPr>
        <w:pStyle w:val="Heading3"/>
      </w:pPr>
      <w:r>
        <w:rPr>
          <w:b/>
          <w:bCs/>
        </w:rPr>
        <w:t xml:space="preserve">8.3 Visualization and Human-Machine Interfaces</w:t>
      </w:r>
    </w:p>
    <w:p>
      <w:pPr>
        <w:pStyle w:val="FirstParagraph"/>
      </w:pPr>
      <w:r>
        <w:t xml:space="preserve">Advanced visualization technologies including 3D immersive environments, augmented reality overlays, and interactive dashboards enable intuitive interaction with complex digital twins</w:t>
      </w:r>
      <w:r>
        <w:t xml:space="preserve"> </w:t>
      </w:r>
      <w:hyperlink w:anchor="ref-marco2024">
        <w:r>
          <w:rPr>
            <w:rStyle w:val="Hyperlink"/>
          </w:rPr>
          <w:t xml:space="preserve">[35]</w:t>
        </w:r>
      </w:hyperlink>
      <w:r>
        <w:t xml:space="preserve">. These interfaces transform abstract simulation data into visually interpretable representations, enabling decision-makers without deep technical expertise to understand system dynamics and make informed decisions</w:t>
      </w:r>
      <w:r>
        <w:t xml:space="preserve"> </w:t>
      </w:r>
      <w:hyperlink w:anchor="ref-marco2024">
        <w:r>
          <w:rPr>
            <w:rStyle w:val="Hyperlink"/>
          </w:rPr>
          <w:t xml:space="preserve">[35]</w:t>
        </w:r>
      </w:hyperlink>
      <w:r>
        <w:t xml:space="preserve">.</w:t>
      </w:r>
    </w:p>
    <w:p>
      <w:pPr>
        <w:pStyle w:val="BodyText"/>
      </w:pPr>
      <w:r>
        <w:t xml:space="preserve">Interactive dashboards provide customizable views of digital twin data, enabling different stakeholders to access information relevant to their roles and decisions</w:t>
      </w:r>
      <w:r>
        <w:t xml:space="preserve"> </w:t>
      </w:r>
      <w:hyperlink w:anchor="ref-hyungki2025">
        <w:r>
          <w:rPr>
            <w:rStyle w:val="Hyperlink"/>
          </w:rPr>
          <w:t xml:space="preserve">[36]</w:t>
        </w:r>
      </w:hyperlink>
      <w:r>
        <w:t xml:space="preserve">. Gesture-based interaction modes and natural language interfaces further reduce cognitive load and make digital twin analysis more accessible</w:t>
      </w:r>
      <w:r>
        <w:t xml:space="preserve"> </w:t>
      </w:r>
      <w:hyperlink w:anchor="ref-marco2024">
        <w:r>
          <w:rPr>
            <w:rStyle w:val="Hyperlink"/>
          </w:rPr>
          <w:t xml:space="preserve">[35]</w:t>
        </w:r>
      </w:hyperlink>
      <w:r>
        <w:t xml:space="preserve">.</w:t>
      </w:r>
    </w:p>
    <w:p>
      <w:r>
        <w:pict>
          <v:rect style="width:0;height:1.5pt" o:hralign="center" o:hrstd="t" o:hr="t"/>
        </w:pict>
      </w:r>
    </w:p>
    <w:p>
      <w:pPr>
        <w:pStyle w:val="Heading2"/>
      </w:pPr>
      <w:r>
        <w:rPr>
          <w:b/>
          <w:bCs/>
        </w:rPr>
        <w:t xml:space="preserve">9. Implementation Challenges and Future Directions</w:t>
      </w:r>
    </w:p>
    <w:p>
      <w:pPr>
        <w:pStyle w:val="Heading3"/>
      </w:pPr>
      <w:r>
        <w:rPr>
          <w:b/>
          <w:bCs/>
        </w:rPr>
        <w:t xml:space="preserve">9.1 Data Quality and Integration Challenges</w:t>
      </w:r>
    </w:p>
    <w:p>
      <w:pPr>
        <w:pStyle w:val="FirstParagraph"/>
      </w:pPr>
      <w:r>
        <w:t xml:space="preserve">Data quality remains the primary impediment to successful digital twin deployment</w:t>
      </w:r>
      <w:r>
        <w:t xml:space="preserve"> </w:t>
      </w:r>
      <w:hyperlink w:anchor="ref-zhou2024">
        <w:r>
          <w:rPr>
            <w:rStyle w:val="Hyperlink"/>
          </w:rPr>
          <w:t xml:space="preserve">[37]</w:t>
        </w:r>
      </w:hyperlink>
      <w:r>
        <w:t xml:space="preserve">. Incomplete, inconsistent, or erroneous data corrupts simulation accuracy and decision support reliability</w:t>
      </w:r>
      <w:r>
        <w:t xml:space="preserve"> </w:t>
      </w:r>
      <w:hyperlink w:anchor="ref-zhou2024">
        <w:r>
          <w:rPr>
            <w:rStyle w:val="Hyperlink"/>
          </w:rPr>
          <w:t xml:space="preserve">[37]</w:t>
        </w:r>
      </w:hyperlink>
      <w:r>
        <w:t xml:space="preserve">. Organizations must implement comprehensive data governance frameworks ensuring data quality through validation, cleansing, and reconciliation processes</w:t>
      </w:r>
      <w:r>
        <w:t xml:space="preserve"> </w:t>
      </w:r>
      <w:hyperlink w:anchor="ref-c2023">
        <w:r>
          <w:rPr>
            <w:rStyle w:val="Hyperlink"/>
          </w:rPr>
          <w:t xml:space="preserve">[21]</w:t>
        </w:r>
      </w:hyperlink>
      <w:r>
        <w:t xml:space="preserve">. Continuous model validation approaches employing machine learning and statistical process control identify data quality issues in real-time, triggering alerts and corrective actions</w:t>
      </w:r>
      <w:r>
        <w:t xml:space="preserve"> </w:t>
      </w:r>
      <w:hyperlink w:anchor="ref-c2023">
        <w:r>
          <w:rPr>
            <w:rStyle w:val="Hyperlink"/>
          </w:rPr>
          <w:t xml:space="preserve">[21]</w:t>
        </w:r>
      </w:hyperlink>
      <w:r>
        <w:t xml:space="preserve">.</w:t>
      </w:r>
    </w:p>
    <w:p>
      <w:pPr>
        <w:pStyle w:val="BodyText"/>
      </w:pPr>
      <w:r>
        <w:t xml:space="preserve">Integrating legacy systems with standardized digital twin platforms presents ongoing challenges, as older systems often use proprietary data formats and communication protocols</w:t>
      </w:r>
      <w:r>
        <w:t xml:space="preserve"> </w:t>
      </w:r>
      <w:hyperlink w:anchor="ref-wenxuan2024">
        <w:r>
          <w:rPr>
            <w:rStyle w:val="Hyperlink"/>
          </w:rPr>
          <w:t xml:space="preserve">[38]</w:t>
        </w:r>
      </w:hyperlink>
      <w:r>
        <w:t xml:space="preserve">. Data mapping and translation layers must bridge these heterogeneous systems while maintaining data consistency and performance</w:t>
      </w:r>
      <w:r>
        <w:t xml:space="preserve"> </w:t>
      </w:r>
      <w:hyperlink w:anchor="ref-wenxuan2024">
        <w:r>
          <w:rPr>
            <w:rStyle w:val="Hyperlink"/>
          </w:rPr>
          <w:t xml:space="preserve">[38]</w:t>
        </w:r>
      </w:hyperlink>
      <w:r>
        <w:t xml:space="preserve">.</w:t>
      </w:r>
    </w:p>
    <w:p>
      <w:pPr>
        <w:pStyle w:val="Heading3"/>
      </w:pPr>
      <w:r>
        <w:rPr>
          <w:b/>
          <w:bCs/>
        </w:rPr>
        <w:t xml:space="preserve">9.2 Cybersecurity and Data Privacy</w:t>
      </w:r>
    </w:p>
    <w:p>
      <w:pPr>
        <w:pStyle w:val="FirstParagraph"/>
      </w:pPr>
      <w:r>
        <w:t xml:space="preserve">Enterprise digital twins accessing sensitive organizational data face substantial cybersecurity risks</w:t>
      </w:r>
      <w:r>
        <w:t xml:space="preserve"> </w:t>
      </w:r>
      <w:hyperlink w:anchor="ref-nida2025">
        <w:r>
          <w:rPr>
            <w:rStyle w:val="Hyperlink"/>
          </w:rPr>
          <w:t xml:space="preserve">[39]</w:t>
        </w:r>
      </w:hyperlink>
      <w:r>
        <w:t xml:space="preserve">. Adversarial attacks on machine learning models embedded in digital twins can degrade forecasting accuracy, leading to poor organizational decisions</w:t>
      </w:r>
      <w:r>
        <w:t xml:space="preserve"> </w:t>
      </w:r>
      <w:hyperlink w:anchor="ref-mohammadhossein2025">
        <w:r>
          <w:rPr>
            <w:rStyle w:val="Hyperlink"/>
          </w:rPr>
          <w:t xml:space="preserve">[40]</w:t>
        </w:r>
      </w:hyperlink>
      <w:r>
        <w:t xml:space="preserve">. Robust cybersecurity requires adversarial training of ML models, anomaly detection systems monitoring for unusual patterns, and secure data pipelines protecting data confidentiality</w:t>
      </w:r>
      <w:r>
        <w:t xml:space="preserve"> </w:t>
      </w:r>
      <w:hyperlink w:anchor="ref-mohammadhossein2025">
        <w:r>
          <w:rPr>
            <w:rStyle w:val="Hyperlink"/>
          </w:rPr>
          <w:t xml:space="preserve">[40]</w:t>
        </w:r>
      </w:hyperlink>
      <w:r>
        <w:t xml:space="preserve">.</w:t>
      </w:r>
    </w:p>
    <w:p>
      <w:pPr>
        <w:pStyle w:val="BodyText"/>
      </w:pPr>
      <w:r>
        <w:t xml:space="preserve">Privacy concerns arise when digital twins process customer data, employee information, or other regulated data types</w:t>
      </w:r>
      <w:r>
        <w:t xml:space="preserve"> </w:t>
      </w:r>
      <w:hyperlink w:anchor="ref-hassan2024">
        <w:r>
          <w:rPr>
            <w:rStyle w:val="Hyperlink"/>
          </w:rPr>
          <w:t xml:space="preserve">[10]</w:t>
        </w:r>
      </w:hyperlink>
      <w:r>
        <w:t xml:space="preserve">. Privacy-preserving techniques including federated learning, differential privacy, and secure multi-party computation enable digital twins to operate on sensitive data while protecting individual privacy</w:t>
      </w:r>
      <w:r>
        <w:t xml:space="preserve"> </w:t>
      </w:r>
      <w:hyperlink w:anchor="ref-hassan2024">
        <w:r>
          <w:rPr>
            <w:rStyle w:val="Hyperlink"/>
          </w:rPr>
          <w:t xml:space="preserve">[10]</w:t>
        </w:r>
      </w:hyperlink>
      <w:r>
        <w:t xml:space="preserve">.</w:t>
      </w:r>
    </w:p>
    <w:p>
      <w:pPr>
        <w:pStyle w:val="Heading3"/>
      </w:pPr>
      <w:r>
        <w:rPr>
          <w:b/>
          <w:bCs/>
        </w:rPr>
        <w:t xml:space="preserve">9.3 Organizational and Change Management</w:t>
      </w:r>
    </w:p>
    <w:p>
      <w:pPr>
        <w:pStyle w:val="FirstParagraph"/>
      </w:pPr>
      <w:r>
        <w:t xml:space="preserve">Successful digital twin deployment requires organizational readiness including technical skills, data culture maturity, and executive sponsorship</w:t>
      </w:r>
      <w:r>
        <w:t xml:space="preserve"> </w:t>
      </w:r>
      <w:hyperlink w:anchor="ref-souvik2022">
        <w:r>
          <w:rPr>
            <w:rStyle w:val="Hyperlink"/>
          </w:rPr>
          <w:t xml:space="preserve">[2]</w:t>
        </w:r>
      </w:hyperlink>
      <w:r>
        <w:t xml:space="preserve">. Organizations must invest in training workforces to interpret digital twin outputs and trust model-based recommendations</w:t>
      </w:r>
      <w:r>
        <w:t xml:space="preserve"> </w:t>
      </w:r>
      <w:hyperlink w:anchor="ref-souvik2022">
        <w:r>
          <w:rPr>
            <w:rStyle w:val="Hyperlink"/>
          </w:rPr>
          <w:t xml:space="preserve">[2]</w:t>
        </w:r>
      </w:hyperlink>
      <w:r>
        <w:t xml:space="preserve">. Change management approaches helping organizations transition from intuition-based to evidence-based decision-making prove critical for sustained digital twin value</w:t>
      </w:r>
      <w:r>
        <w:t xml:space="preserve"> </w:t>
      </w:r>
      <w:hyperlink w:anchor="ref-souvik2022">
        <w:r>
          <w:rPr>
            <w:rStyle w:val="Hyperlink"/>
          </w:rPr>
          <w:t xml:space="preserve">[2]</w:t>
        </w:r>
      </w:hyperlink>
      <w:r>
        <w:t xml:space="preserve">.</w:t>
      </w:r>
    </w:p>
    <w:p>
      <w:pPr>
        <w:pStyle w:val="BodyText"/>
      </w:pPr>
      <w:r>
        <w:t xml:space="preserve">The transition from centralized decision-making to autonomous AI agents making organizational decisions raises questions about human oversight, accountability, and organizational values</w:t>
      </w:r>
      <w:r>
        <w:t xml:space="preserve"> </w:t>
      </w:r>
      <w:hyperlink w:anchor="ref-d2024">
        <w:r>
          <w:rPr>
            <w:rStyle w:val="Hyperlink"/>
          </w:rPr>
          <w:t xml:space="preserve">[23]</w:t>
        </w:r>
      </w:hyperlink>
      <w:r>
        <w:t xml:space="preserve">. Explainable AI approaches that make autonomous digital twin decisions interpretable to human stakeholders provide critical safeguards</w:t>
      </w:r>
      <w:r>
        <w:t xml:space="preserve"> </w:t>
      </w:r>
      <w:hyperlink w:anchor="ref-d2024">
        <w:r>
          <w:rPr>
            <w:rStyle w:val="Hyperlink"/>
          </w:rPr>
          <w:t xml:space="preserve">[23]</w:t>
        </w:r>
      </w:hyperlink>
      <w:r>
        <w:t xml:space="preserve">.</w:t>
      </w:r>
    </w:p>
    <w:p>
      <w:pPr>
        <w:pStyle w:val="Heading3"/>
      </w:pPr>
      <w:r>
        <w:rPr>
          <w:b/>
          <w:bCs/>
        </w:rPr>
        <w:t xml:space="preserve">9.4 Future Research Directions</w:t>
      </w:r>
    </w:p>
    <w:p>
      <w:pPr>
        <w:pStyle w:val="FirstParagraph"/>
      </w:pPr>
      <w:r>
        <w:t xml:space="preserve">Future enterprise digital twin research should emphasize:</w:t>
      </w:r>
    </w:p>
    <w:p>
      <w:pPr>
        <w:pStyle w:val="BodyText"/>
      </w:pPr>
      <w:r>
        <w:rPr>
          <w:b/>
          <w:bCs/>
        </w:rPr>
        <w:t xml:space="preserve">Autonomous Organization Simulation</w:t>
      </w:r>
      <w:r>
        <w:t xml:space="preserve">: Digital twins capable of simulating entire organizations including human decision-makers, creating comprehensive organizational models enabling strategic simulations</w:t>
      </w:r>
      <w:r>
        <w:t xml:space="preserve"> </w:t>
      </w:r>
      <w:hyperlink w:anchor="ref-souvik2022">
        <w:r>
          <w:rPr>
            <w:rStyle w:val="Hyperlink"/>
          </w:rPr>
          <w:t xml:space="preserve">[2]</w:t>
        </w:r>
      </w:hyperlink>
      <w:r>
        <w:t xml:space="preserve">.</w:t>
      </w:r>
    </w:p>
    <w:p>
      <w:pPr>
        <w:pStyle w:val="BodyText"/>
      </w:pPr>
      <w:r>
        <w:rPr>
          <w:b/>
          <w:bCs/>
        </w:rPr>
        <w:t xml:space="preserve">Knowledge-Driven Digital Twins</w:t>
      </w:r>
      <w:r>
        <w:t xml:space="preserve">: Enhanced integration of domain expertise, historical organizational knowledge, and industry best practices into digital twins, enabling more sophisticated reasoning about organizational problems</w:t>
      </w:r>
      <w:r>
        <w:t xml:space="preserve"> </w:t>
      </w:r>
      <w:hyperlink w:anchor="ref-jia2026">
        <w:r>
          <w:rPr>
            <w:rStyle w:val="Hyperlink"/>
          </w:rPr>
          <w:t xml:space="preserve">[16]</w:t>
        </w:r>
      </w:hyperlink>
      <w:r>
        <w:t xml:space="preserve">.</w:t>
      </w:r>
    </w:p>
    <w:p>
      <w:pPr>
        <w:pStyle w:val="BodyText"/>
      </w:pPr>
      <w:r>
        <w:rPr>
          <w:b/>
          <w:bCs/>
        </w:rPr>
        <w:t xml:space="preserve">Explainable AI for Decision Support</w:t>
      </w:r>
      <w:r>
        <w:t xml:space="preserve">: Development of transparent, interpretable AI models that executives can trust for strategic decisions, with clear reasoning about recommendations and tradeoffs</w:t>
      </w:r>
      <w:r>
        <w:t xml:space="preserve"> </w:t>
      </w:r>
      <w:hyperlink w:anchor="ref-gabriel2025">
        <w:r>
          <w:rPr>
            <w:rStyle w:val="Hyperlink"/>
          </w:rPr>
          <w:t xml:space="preserve">[28]</w:t>
        </w:r>
      </w:hyperlink>
      <w:r>
        <w:t xml:space="preserve">.</w:t>
      </w:r>
    </w:p>
    <w:p>
      <w:pPr>
        <w:pStyle w:val="BodyText"/>
      </w:pPr>
      <w:r>
        <w:rPr>
          <w:b/>
          <w:bCs/>
        </w:rPr>
        <w:t xml:space="preserve">Sustainable Organizational Performance</w:t>
      </w:r>
      <w:r>
        <w:t xml:space="preserve">: Digital twins integrating sustainability metrics alongside traditional financial and operational performance measures, enabling organizations to optimize for long-term resilience and environmental responsibility</w:t>
      </w:r>
      <w:r>
        <w:t xml:space="preserve"> </w:t>
      </w:r>
      <w:hyperlink w:anchor="ref-yangqiong2025">
        <w:r>
          <w:rPr>
            <w:rStyle w:val="Hyperlink"/>
          </w:rPr>
          <w:t xml:space="preserve">[41]</w:t>
        </w:r>
      </w:hyperlink>
      <w:r>
        <w:t xml:space="preserve">.</w:t>
      </w:r>
    </w:p>
    <w:p>
      <w:pPr>
        <w:pStyle w:val="BodyText"/>
      </w:pPr>
      <w:r>
        <w:rPr>
          <w:b/>
          <w:bCs/>
        </w:rPr>
        <w:t xml:space="preserve">Federated Digital Twin Networks</w:t>
      </w:r>
      <w:r>
        <w:t xml:space="preserve">: Ecosystem approaches enabling organizations to share specialized digital twin capabilities while maintaining data privacy and proprietary information security</w:t>
      </w:r>
      <w:r>
        <w:t xml:space="preserve"> </w:t>
      </w:r>
      <w:hyperlink w:anchor="ref-f2025">
        <w:r>
          <w:rPr>
            <w:rStyle w:val="Hyperlink"/>
          </w:rPr>
          <w:t xml:space="preserve">[42]</w:t>
        </w:r>
      </w:hyperlink>
      <w:r>
        <w:t xml:space="preserve">.</w:t>
      </w:r>
    </w:p>
    <w:p>
      <w:r>
        <w:pict>
          <v:rect style="width:0;height:1.5pt" o:hralign="center" o:hrstd="t" o:hr="t"/>
        </w:pict>
      </w:r>
    </w:p>
    <w:p>
      <w:pPr>
        <w:pStyle w:val="Heading2"/>
      </w:pPr>
      <w:r>
        <w:rPr>
          <w:b/>
          <w:bCs/>
        </w:rPr>
        <w:t xml:space="preserve">Conclusion</w:t>
      </w:r>
    </w:p>
    <w:p>
      <w:pPr>
        <w:pStyle w:val="FirstParagraph"/>
      </w:pPr>
      <w:r>
        <w:t xml:space="preserve">Enterprise digital twins represent a transformative technology enabling organizations to transcend traditional limitations of decision-making under uncertainty. By creating continuously updating virtual replicas of organizational systems, capturing real-time data from operations, integrating heterogeneous information sources through semantic technologies, and embedding sophisticated AI reasoning capabilities, digital twins enable evidence-based strategic decision-making previously impossible in complex organizational environments</w:t>
      </w:r>
      <w:r>
        <w:t xml:space="preserve"> </w:t>
      </w:r>
      <w:hyperlink w:anchor="ref-farid2024">
        <w:r>
          <w:rPr>
            <w:rStyle w:val="Hyperlink"/>
          </w:rPr>
          <w:t xml:space="preserve">[1]</w:t>
        </w:r>
      </w:hyperlink>
      <w:r>
        <w:t xml:space="preserve">,</w:t>
      </w:r>
      <w:r>
        <w:t xml:space="preserve"> </w:t>
      </w:r>
      <w:hyperlink w:anchor="ref-souvik2022">
        <w:r>
          <w:rPr>
            <w:rStyle w:val="Hyperlink"/>
          </w:rPr>
          <w:t xml:space="preserve">[2]</w:t>
        </w:r>
      </w:hyperlink>
      <w:r>
        <w:t xml:space="preserve">.</w:t>
      </w:r>
    </w:p>
    <w:p>
      <w:pPr>
        <w:pStyle w:val="BodyText"/>
      </w:pPr>
      <w:r>
        <w:t xml:space="preserve">The convergence of Industry 4.0/5.0 paradigms with advances in IoT, cloud computing, artificial intelligence, and knowledge representation technologies creates unprecedented opportunities for organizational simulation and optimization</w:t>
      </w:r>
      <w:r>
        <w:t xml:space="preserve"> </w:t>
      </w:r>
      <w:hyperlink w:anchor="ref-md2025">
        <w:r>
          <w:rPr>
            <w:rStyle w:val="Hyperlink"/>
          </w:rPr>
          <w:t xml:space="preserve">[9]</w:t>
        </w:r>
      </w:hyperlink>
      <w:r>
        <w:t xml:space="preserve">. Organizations implementing comprehensive digital twin ecosystems that integrate cyber-physical systems with business processes, supply chains, and market dynamics will gain substantial competitive advantages through improved forecasting accuracy, faster decision-making, reduced operational risk, and enhanced organizational agility</w:t>
      </w:r>
      <w:r>
        <w:t xml:space="preserve"> </w:t>
      </w:r>
      <w:hyperlink w:anchor="ref-souvik2022">
        <w:r>
          <w:rPr>
            <w:rStyle w:val="Hyperlink"/>
          </w:rPr>
          <w:t xml:space="preserve">[2]</w:t>
        </w:r>
      </w:hyperlink>
      <w:r>
        <w:t xml:space="preserve">.</w:t>
      </w:r>
    </w:p>
    <w:p>
      <w:pPr>
        <w:pStyle w:val="BodyText"/>
      </w:pPr>
      <w:r>
        <w:t xml:space="preserve">Yet successful digital twin deployment extends beyond technological capability to encompass data governance maturity, organizational culture, and human expertise</w:t>
      </w:r>
      <w:r>
        <w:t xml:space="preserve"> </w:t>
      </w:r>
      <w:hyperlink w:anchor="ref-souvik2022">
        <w:r>
          <w:rPr>
            <w:rStyle w:val="Hyperlink"/>
          </w:rPr>
          <w:t xml:space="preserve">[2]</w:t>
        </w:r>
      </w:hyperlink>
      <w:r>
        <w:t xml:space="preserve">. Organizations must invest in comprehensive change management, workforce development, and governance frameworks ensuring digital twins enhance human decision-making rather than replacing human judgment in contexts where human values and ethical considerations prove irreducible to computational optimization</w:t>
      </w:r>
      <w:r>
        <w:t xml:space="preserve"> </w:t>
      </w:r>
      <w:hyperlink w:anchor="ref-d2024">
        <w:r>
          <w:rPr>
            <w:rStyle w:val="Hyperlink"/>
          </w:rPr>
          <w:t xml:space="preserve">[23]</w:t>
        </w:r>
      </w:hyperlink>
      <w:r>
        <w:t xml:space="preserve">.</w:t>
      </w:r>
    </w:p>
    <w:p>
      <w:pPr>
        <w:pStyle w:val="BodyText"/>
      </w:pPr>
      <w:r>
        <w:t xml:space="preserve">The field remains young, with substantial research needed on autonomous organization simulation, knowledge integration, explainable decision support, and ecosystem approaches to federated digital twins. As these research directions mature and organizations accumulate experience with digital twin deployment, the technology will likely become as foundational to organizational management as ERP systems have become to financial management, enabling organizations to operate with unprecedented sophistication, responsiveness, and alignment with strategic objectives in increasingly complex and uncertain environments.</w:t>
      </w:r>
    </w:p>
    <w:p>
      <w:r>
        <w:pict>
          <v:rect style="width:0;height:1.5pt" o:hralign="center" o:hrstd="t" o:hr="t"/>
        </w:pict>
      </w:r>
    </w:p>
    <w:p>
      <w:pPr>
        <w:pStyle w:val="Heading2"/>
      </w:pPr>
      <w:r>
        <w:t xml:space="preserve">References</w:t>
      </w:r>
    </w:p>
    <w:p>
      <w:pPr>
        <w:pStyle w:val="FirstParagraph"/>
      </w:pPr>
      <w:r>
        <w:t xml:space="preserve">[1]</w:t>
      </w:r>
      <w:r>
        <w:t xml:space="preserve"> </w:t>
      </w:r>
      <w:r>
        <w:t xml:space="preserve">	</w:t>
      </w:r>
      <w:r>
        <w:t xml:space="preserve">F. Edrisi, D. Pérez-Palacín, M. Caporuscio, and S. Giussani,</w:t>
      </w:r>
      <w:r>
        <w:t xml:space="preserve"> </w:t>
      </w:r>
      <w:r>
        <w:t xml:space="preserve">“Developing and evolving a digital twin of the organization,”</w:t>
      </w:r>
      <w:r>
        <w:t xml:space="preserve"> </w:t>
      </w:r>
      <w:r>
        <w:rPr>
          <w:i/>
          <w:iCs/>
        </w:rPr>
        <w:t xml:space="preserve">IEEE Access</w:t>
      </w:r>
      <w:r>
        <w:t xml:space="preserve">, Jan. 2024, doi:</w:t>
      </w:r>
      <w:r>
        <w:t xml:space="preserve"> </w:t>
      </w:r>
      <w:hyperlink r:id="rId9">
        <w:r>
          <w:rPr>
            <w:rStyle w:val="Hyperlink"/>
          </w:rPr>
          <w:t xml:space="preserve">https://doi.org/10.1109/access.2024.3381778</w:t>
        </w:r>
      </w:hyperlink>
      <w:r>
        <w:t xml:space="preserve">.</w:t>
      </w:r>
    </w:p>
    <w:p>
      <w:pPr>
        <w:pStyle w:val="BodyText"/>
      </w:pPr>
      <w:r>
        <w:t xml:space="preserve">[2]</w:t>
      </w:r>
      <w:r>
        <w:t xml:space="preserve"> </w:t>
      </w:r>
      <w:r>
        <w:t xml:space="preserve">	</w:t>
      </w:r>
      <w:r>
        <w:t xml:space="preserve">S. Barat, V. Kulkarni, and K. Bhattacharya,</w:t>
      </w:r>
      <w:r>
        <w:t xml:space="preserve"> </w:t>
      </w:r>
      <w:r>
        <w:t xml:space="preserve">“Enterprise digital twins for risk free business experimentations,”</w:t>
      </w:r>
      <w:r>
        <w:t xml:space="preserve"> </w:t>
      </w:r>
      <w:r>
        <w:rPr>
          <w:i/>
          <w:iCs/>
        </w:rPr>
        <w:t xml:space="preserve">Online World Conference on Soft Computing in Industrial Applications</w:t>
      </w:r>
      <w:r>
        <w:t xml:space="preserve">, Dec. 2022, doi:</w:t>
      </w:r>
      <w:r>
        <w:t xml:space="preserve"> </w:t>
      </w:r>
      <w:hyperlink r:id="rId10">
        <w:r>
          <w:rPr>
            <w:rStyle w:val="Hyperlink"/>
          </w:rPr>
          <w:t xml:space="preserve">10.1109/WSC57314.2022.10015412</w:t>
        </w:r>
      </w:hyperlink>
      <w:r>
        <w:t xml:space="preserve">.</w:t>
      </w:r>
    </w:p>
    <w:p>
      <w:pPr>
        <w:pStyle w:val="BodyText"/>
      </w:pPr>
      <w:r>
        <w:t xml:space="preserve">[3]</w:t>
      </w:r>
      <w:r>
        <w:t xml:space="preserve"> </w:t>
      </w:r>
      <w:r>
        <w:t xml:space="preserve">	</w:t>
      </w:r>
      <w:r>
        <w:t xml:space="preserve">F. Fornari</w:t>
      </w:r>
      <w:r>
        <w:t xml:space="preserve"> </w:t>
      </w:r>
      <w:r>
        <w:rPr>
          <w:i/>
          <w:iCs/>
        </w:rPr>
        <w:t xml:space="preserve">et al.</w:t>
      </w:r>
      <w:r>
        <w:t xml:space="preserve">,</w:t>
      </w:r>
      <w:r>
        <w:t xml:space="preserve"> </w:t>
      </w:r>
      <w:r>
        <w:t xml:space="preserve">“Digital twins of business processes: A research manifesto,”</w:t>
      </w:r>
      <w:r>
        <w:t xml:space="preserve"> </w:t>
      </w:r>
      <w:r>
        <w:rPr>
          <w:i/>
          <w:iCs/>
        </w:rPr>
        <w:t xml:space="preserve">Internet of Things</w:t>
      </w:r>
      <w:r>
        <w:t xml:space="preserve">, Sept. 2024, doi:</w:t>
      </w:r>
      <w:r>
        <w:t xml:space="preserve"> </w:t>
      </w:r>
      <w:hyperlink r:id="rId11">
        <w:r>
          <w:rPr>
            <w:rStyle w:val="Hyperlink"/>
          </w:rPr>
          <w:t xml:space="preserve">10.1016/j.iot.2024.101477</w:t>
        </w:r>
      </w:hyperlink>
      <w:r>
        <w:t xml:space="preserve">.</w:t>
      </w:r>
    </w:p>
    <w:p>
      <w:pPr>
        <w:pStyle w:val="BodyText"/>
      </w:pPr>
      <w:r>
        <w:t xml:space="preserve">[4]</w:t>
      </w:r>
      <w:r>
        <w:t xml:space="preserve"> </w:t>
      </w:r>
      <w:r>
        <w:t xml:space="preserve">	</w:t>
      </w:r>
      <w:r>
        <w:t xml:space="preserve">I. C. Fantozzi, A. Santolamazza, G. Loy, and M. Schiraldi,</w:t>
      </w:r>
      <w:r>
        <w:t xml:space="preserve"> </w:t>
      </w:r>
      <w:r>
        <w:t xml:space="preserve">“Digital twins: Strategic guide to utilize digital twins to improve operational efficiency in industry 4.0,”</w:t>
      </w:r>
      <w:r>
        <w:t xml:space="preserve"> </w:t>
      </w:r>
      <w:r>
        <w:rPr>
          <w:i/>
          <w:iCs/>
        </w:rPr>
        <w:t xml:space="preserve">Future Internet</w:t>
      </w:r>
      <w:r>
        <w:t xml:space="preserve">, Jan. 2025, doi:</w:t>
      </w:r>
      <w:r>
        <w:t xml:space="preserve"> </w:t>
      </w:r>
      <w:hyperlink r:id="rId12">
        <w:r>
          <w:rPr>
            <w:rStyle w:val="Hyperlink"/>
          </w:rPr>
          <w:t xml:space="preserve">10.3390/fi17010041</w:t>
        </w:r>
      </w:hyperlink>
      <w:r>
        <w:t xml:space="preserve">.</w:t>
      </w:r>
    </w:p>
    <w:p>
      <w:pPr>
        <w:pStyle w:val="BodyText"/>
      </w:pPr>
      <w:r>
        <w:t xml:space="preserve">[5]</w:t>
      </w:r>
      <w:r>
        <w:t xml:space="preserve"> </w:t>
      </w:r>
      <w:r>
        <w:t xml:space="preserve">	</w:t>
      </w:r>
      <w:r>
        <w:t xml:space="preserve">S. Koneru,</w:t>
      </w:r>
      <w:r>
        <w:t xml:space="preserve"> </w:t>
      </w:r>
      <w:r>
        <w:t xml:space="preserve">“Cloud-based digital twins: Revolutionizing endpoint infrastructure management,”</w:t>
      </w:r>
      <w:r>
        <w:t xml:space="preserve"> </w:t>
      </w:r>
      <w:r>
        <w:rPr>
          <w:i/>
          <w:iCs/>
        </w:rPr>
        <w:t xml:space="preserve">European journal of computer science and information technology</w:t>
      </w:r>
      <w:r>
        <w:t xml:space="preserve">, Apr. 2025, doi:</w:t>
      </w:r>
      <w:r>
        <w:t xml:space="preserve"> </w:t>
      </w:r>
      <w:hyperlink r:id="rId13">
        <w:r>
          <w:rPr>
            <w:rStyle w:val="Hyperlink"/>
          </w:rPr>
          <w:t xml:space="preserve">10.37745/ejcsit.2013/vol13n2396114</w:t>
        </w:r>
      </w:hyperlink>
      <w:r>
        <w:t xml:space="preserve">.</w:t>
      </w:r>
    </w:p>
    <w:p>
      <w:pPr>
        <w:pStyle w:val="BodyText"/>
      </w:pPr>
      <w:r>
        <w:t xml:space="preserve">[6]</w:t>
      </w:r>
      <w:r>
        <w:t xml:space="preserve"> </w:t>
      </w:r>
      <w:r>
        <w:t xml:space="preserve">	</w:t>
      </w:r>
      <w:r>
        <w:t xml:space="preserve">P. Nikishechkin, V. Dolgov, and S. N. Grigoriev,</w:t>
      </w:r>
      <w:r>
        <w:t xml:space="preserve"> </w:t>
      </w:r>
      <w:r>
        <w:t xml:space="preserve">“Development of the digital twins’ typical architecture in the mechanical engineering enterprise production and logistics systems at different stages of their lifecycle,”</w:t>
      </w:r>
      <w:r>
        <w:t xml:space="preserve"> </w:t>
      </w:r>
      <w:r>
        <w:rPr>
          <w:i/>
          <w:iCs/>
        </w:rPr>
        <w:t xml:space="preserve">Proceedings of Higher Educational Institutions Маchine Building</w:t>
      </w:r>
      <w:r>
        <w:t xml:space="preserve">, May 2023, doi:</w:t>
      </w:r>
      <w:r>
        <w:t xml:space="preserve"> </w:t>
      </w:r>
      <w:hyperlink r:id="rId14">
        <w:r>
          <w:rPr>
            <w:rStyle w:val="Hyperlink"/>
          </w:rPr>
          <w:t xml:space="preserve">10.18698/0536-1044-2023-5-37-48</w:t>
        </w:r>
      </w:hyperlink>
      <w:r>
        <w:t xml:space="preserve">.</w:t>
      </w:r>
    </w:p>
    <w:p>
      <w:pPr>
        <w:pStyle w:val="BodyText"/>
      </w:pPr>
      <w:r>
        <w:t xml:space="preserve">[7]</w:t>
      </w:r>
      <w:r>
        <w:t xml:space="preserve"> </w:t>
      </w:r>
      <w:r>
        <w:t xml:space="preserve">	</w:t>
      </w:r>
      <w:r>
        <w:t xml:space="preserve">C. Qian, Y. Guo, A. Hussaini, A. Musa, A. Sai, and W. Yu,</w:t>
      </w:r>
      <w:r>
        <w:t xml:space="preserve"> </w:t>
      </w:r>
      <w:r>
        <w:t xml:space="preserve">“A new layer structure of cyber-physical systems under the era of digital twin,”</w:t>
      </w:r>
      <w:r>
        <w:t xml:space="preserve"> </w:t>
      </w:r>
      <w:r>
        <w:rPr>
          <w:i/>
          <w:iCs/>
        </w:rPr>
        <w:t xml:space="preserve">ACM Transactions on Internet Technology</w:t>
      </w:r>
      <w:r>
        <w:t xml:space="preserve">, June 2024, doi:</w:t>
      </w:r>
      <w:r>
        <w:t xml:space="preserve"> </w:t>
      </w:r>
      <w:hyperlink r:id="rId15">
        <w:r>
          <w:rPr>
            <w:rStyle w:val="Hyperlink"/>
          </w:rPr>
          <w:t xml:space="preserve">10.1145/3674974</w:t>
        </w:r>
      </w:hyperlink>
      <w:r>
        <w:t xml:space="preserve">.</w:t>
      </w:r>
    </w:p>
    <w:p>
      <w:pPr>
        <w:pStyle w:val="BodyText"/>
      </w:pPr>
      <w:r>
        <w:t xml:space="preserve">[8]</w:t>
      </w:r>
      <w:r>
        <w:t xml:space="preserve"> </w:t>
      </w:r>
      <w:r>
        <w:t xml:space="preserve">	</w:t>
      </w:r>
      <w:r>
        <w:t xml:space="preserve">S. A., T.Vijayanandh, Janani.G, M. O. Sabri, Laxmi, and M. Dinesh,</w:t>
      </w:r>
      <w:r>
        <w:t xml:space="preserve"> </w:t>
      </w:r>
      <w:r>
        <w:t xml:space="preserve">“A novel approach to emergency infrastructure monitoring via digital twin technology: Building disaster-resilient edge-cloud computing architectures,”</w:t>
      </w:r>
      <w:r>
        <w:t xml:space="preserve"> </w:t>
      </w:r>
      <w:r>
        <w:rPr>
          <w:i/>
          <w:iCs/>
        </w:rPr>
        <w:t xml:space="preserve">International Conference on Computing, Communication and Automation</w:t>
      </w:r>
      <w:r>
        <w:t xml:space="preserve">, Nov. 2025, doi:</w:t>
      </w:r>
      <w:r>
        <w:t xml:space="preserve"> </w:t>
      </w:r>
      <w:hyperlink r:id="rId16">
        <w:r>
          <w:rPr>
            <w:rStyle w:val="Hyperlink"/>
          </w:rPr>
          <w:t xml:space="preserve">10.1109/ICCCA66364.2025.11325395</w:t>
        </w:r>
      </w:hyperlink>
      <w:r>
        <w:t xml:space="preserve">.</w:t>
      </w:r>
    </w:p>
    <w:p>
      <w:pPr>
        <w:pStyle w:val="BodyText"/>
      </w:pPr>
      <w:r>
        <w:t xml:space="preserve">[9]</w:t>
      </w:r>
      <w:r>
        <w:t xml:space="preserve"> </w:t>
      </w:r>
      <w:r>
        <w:t xml:space="preserve">	</w:t>
      </w:r>
      <w:r>
        <w:t xml:space="preserve">M. R. Kabir and S. Ray,</w:t>
      </w:r>
      <w:r>
        <w:t xml:space="preserve"> </w:t>
      </w:r>
      <w:r>
        <w:t xml:space="preserve">“Digital twin tools for smart manufacturing: A paradigm shift for industry 4.0,”</w:t>
      </w:r>
      <w:r>
        <w:t xml:space="preserve"> </w:t>
      </w:r>
      <w:r>
        <w:rPr>
          <w:i/>
          <w:iCs/>
        </w:rPr>
        <w:t xml:space="preserve">IEEE Open Journal of the Industrial Electronics Society</w:t>
      </w:r>
      <w:r>
        <w:t xml:space="preserve">, 2025, doi:</w:t>
      </w:r>
      <w:r>
        <w:t xml:space="preserve"> </w:t>
      </w:r>
      <w:hyperlink r:id="rId17">
        <w:r>
          <w:rPr>
            <w:rStyle w:val="Hyperlink"/>
          </w:rPr>
          <w:t xml:space="preserve">10.1109/OJIES.2025.3628531</w:t>
        </w:r>
      </w:hyperlink>
      <w:r>
        <w:t xml:space="preserve">.</w:t>
      </w:r>
    </w:p>
    <w:p>
      <w:pPr>
        <w:pStyle w:val="BodyText"/>
      </w:pPr>
      <w:r>
        <w:t xml:space="preserve">[10]</w:t>
      </w:r>
      <w:r>
        <w:t xml:space="preserve"> </w:t>
      </w:r>
      <w:r>
        <w:t xml:space="preserve">	</w:t>
      </w:r>
      <w:r>
        <w:t xml:space="preserve">H. Alghamdi,</w:t>
      </w:r>
      <w:r>
        <w:t xml:space="preserve"> </w:t>
      </w:r>
      <w:r>
        <w:t xml:space="preserve">“Assessing the impact of enterprise architecture on digital transformation success: A global perspective,”</w:t>
      </w:r>
      <w:r>
        <w:t xml:space="preserve"> </w:t>
      </w:r>
      <w:r>
        <w:rPr>
          <w:i/>
          <w:iCs/>
        </w:rPr>
        <w:t xml:space="preserve">Sustainability</w:t>
      </w:r>
      <w:r>
        <w:t xml:space="preserve">, Oct. 2024, doi:</w:t>
      </w:r>
      <w:r>
        <w:t xml:space="preserve"> </w:t>
      </w:r>
      <w:hyperlink r:id="rId18">
        <w:r>
          <w:rPr>
            <w:rStyle w:val="Hyperlink"/>
          </w:rPr>
          <w:t xml:space="preserve">10.3390/su16208865</w:t>
        </w:r>
      </w:hyperlink>
      <w:r>
        <w:t xml:space="preserve">.</w:t>
      </w:r>
    </w:p>
    <w:p>
      <w:pPr>
        <w:pStyle w:val="BodyText"/>
      </w:pPr>
      <w:r>
        <w:t xml:space="preserve">[11]</w:t>
      </w:r>
      <w:r>
        <w:t xml:space="preserve"> </w:t>
      </w:r>
      <w:r>
        <w:t xml:space="preserve">	</w:t>
      </w:r>
      <w:r>
        <w:t xml:space="preserve">S. Ieva</w:t>
      </w:r>
      <w:r>
        <w:t xml:space="preserve"> </w:t>
      </w:r>
      <w:r>
        <w:rPr>
          <w:i/>
          <w:iCs/>
        </w:rPr>
        <w:t xml:space="preserve">et al.</w:t>
      </w:r>
      <w:r>
        <w:t xml:space="preserve">,</w:t>
      </w:r>
      <w:r>
        <w:t xml:space="preserve"> </w:t>
      </w:r>
      <w:r>
        <w:t xml:space="preserve">“A composable architectural model for digital twin computing applications,”</w:t>
      </w:r>
      <w:r>
        <w:t xml:space="preserve"> </w:t>
      </w:r>
      <w:r>
        <w:rPr>
          <w:i/>
          <w:iCs/>
        </w:rPr>
        <w:t xml:space="preserve">Applied Sciences</w:t>
      </w:r>
      <w:r>
        <w:t xml:space="preserve">, May 2026, doi:</w:t>
      </w:r>
      <w:r>
        <w:t xml:space="preserve"> </w:t>
      </w:r>
      <w:hyperlink r:id="rId19">
        <w:r>
          <w:rPr>
            <w:rStyle w:val="Hyperlink"/>
          </w:rPr>
          <w:t xml:space="preserve">10.3390/app16094541</w:t>
        </w:r>
      </w:hyperlink>
      <w:r>
        <w:t xml:space="preserve">.</w:t>
      </w:r>
    </w:p>
    <w:p>
      <w:pPr>
        <w:pStyle w:val="BodyText"/>
      </w:pPr>
      <w:r>
        <w:t xml:space="preserve">[12]</w:t>
      </w:r>
      <w:r>
        <w:t xml:space="preserve"> </w:t>
      </w:r>
      <w:r>
        <w:t xml:space="preserve">	</w:t>
      </w:r>
      <w:r>
        <w:t xml:space="preserve">P. Zech, C. Nardin, S. Ristov, M. Flora, and R. Breu,</w:t>
      </w:r>
      <w:r>
        <w:t xml:space="preserve"> </w:t>
      </w:r>
      <w:r>
        <w:t xml:space="preserve">“Digital-twins-as-a-service in construction engineering,”</w:t>
      </w:r>
      <w:r>
        <w:t xml:space="preserve"> </w:t>
      </w:r>
      <w:r>
        <w:rPr>
          <w:i/>
          <w:iCs/>
        </w:rPr>
        <w:t xml:space="preserve">2024 IEEE 20th International Conference on Automation Science and Engineering (CASE)</w:t>
      </w:r>
      <w:r>
        <w:t xml:space="preserve">, Aug. 2024, doi:</w:t>
      </w:r>
      <w:r>
        <w:t xml:space="preserve"> </w:t>
      </w:r>
      <w:hyperlink r:id="rId20">
        <w:r>
          <w:rPr>
            <w:rStyle w:val="Hyperlink"/>
          </w:rPr>
          <w:t xml:space="preserve">10.1109/CASE59546.2024.10711409</w:t>
        </w:r>
      </w:hyperlink>
      <w:r>
        <w:t xml:space="preserve">.</w:t>
      </w:r>
    </w:p>
    <w:p>
      <w:pPr>
        <w:pStyle w:val="BodyText"/>
      </w:pPr>
      <w:r>
        <w:t xml:space="preserve">[13]</w:t>
      </w:r>
      <w:r>
        <w:t xml:space="preserve"> </w:t>
      </w:r>
      <w:r>
        <w:t xml:space="preserve">	</w:t>
      </w:r>
      <w:r>
        <w:t xml:space="preserve">S. Rukh, O. B. Seyi-Lande, and S. T. Oziri,</w:t>
      </w:r>
      <w:r>
        <w:t xml:space="preserve"> </w:t>
      </w:r>
      <w:r>
        <w:t xml:space="preserve">“An integrated framework for AI and predictive analytics in supply chain management,”</w:t>
      </w:r>
      <w:r>
        <w:t xml:space="preserve"> </w:t>
      </w:r>
      <w:r>
        <w:rPr>
          <w:i/>
          <w:iCs/>
        </w:rPr>
        <w:t xml:space="preserve">International Journal of Scientific Research in Humanities and Social Sciences</w:t>
      </w:r>
      <w:r>
        <w:t xml:space="preserve">, Oct. 2024, doi:</w:t>
      </w:r>
      <w:r>
        <w:t xml:space="preserve"> </w:t>
      </w:r>
      <w:hyperlink r:id="rId21">
        <w:r>
          <w:rPr>
            <w:rStyle w:val="Hyperlink"/>
          </w:rPr>
          <w:t xml:space="preserve">https://doi.org/10.32628/ijsrssh243671</w:t>
        </w:r>
      </w:hyperlink>
      <w:r>
        <w:t xml:space="preserve">.</w:t>
      </w:r>
    </w:p>
    <w:p>
      <w:pPr>
        <w:pStyle w:val="BodyText"/>
      </w:pPr>
      <w:r>
        <w:t xml:space="preserve">[14]</w:t>
      </w:r>
      <w:r>
        <w:t xml:space="preserve"> </w:t>
      </w:r>
      <w:r>
        <w:t xml:space="preserve">	</w:t>
      </w:r>
      <w:r>
        <w:t xml:space="preserve">A. Naufal, A. R. Azhar, and R. Simanjorang,</w:t>
      </w:r>
      <w:r>
        <w:t xml:space="preserve"> </w:t>
      </w:r>
      <w:r>
        <w:t xml:space="preserve">“Advancing digital twin-driven production optimization: Bridging operational and engineering silos via a real-time data integration pipeline,”</w:t>
      </w:r>
      <w:r>
        <w:t xml:space="preserve"> </w:t>
      </w:r>
      <w:r>
        <w:rPr>
          <w:i/>
          <w:iCs/>
        </w:rPr>
        <w:t xml:space="preserve">Offshore Technology Conference Asia</w:t>
      </w:r>
      <w:r>
        <w:t xml:space="preserve">, Mar. 2026, doi:</w:t>
      </w:r>
      <w:r>
        <w:t xml:space="preserve"> </w:t>
      </w:r>
      <w:hyperlink r:id="rId22">
        <w:r>
          <w:rPr>
            <w:rStyle w:val="Hyperlink"/>
          </w:rPr>
          <w:t xml:space="preserve">10.4043/36648-ms</w:t>
        </w:r>
      </w:hyperlink>
      <w:r>
        <w:t xml:space="preserve">.</w:t>
      </w:r>
    </w:p>
    <w:p>
      <w:pPr>
        <w:pStyle w:val="BodyText"/>
      </w:pPr>
      <w:r>
        <w:t xml:space="preserve">[15]</w:t>
      </w:r>
      <w:r>
        <w:t xml:space="preserve"> </w:t>
      </w:r>
      <w:r>
        <w:t xml:space="preserve">	</w:t>
      </w:r>
      <w:r>
        <w:t xml:space="preserve">H. Li, Z. Ma, Q. Liu, and S. Xie,</w:t>
      </w:r>
      <w:r>
        <w:t xml:space="preserve"> </w:t>
      </w:r>
      <w:r>
        <w:t xml:space="preserve">“Development and application of digital twin simulation system for thermal power plant,”</w:t>
      </w:r>
      <w:r>
        <w:t xml:space="preserve"> </w:t>
      </w:r>
      <w:r>
        <w:rPr>
          <w:i/>
          <w:iCs/>
        </w:rPr>
        <w:t xml:space="preserve">Journal of Electronic Research and Application</w:t>
      </w:r>
      <w:r>
        <w:t xml:space="preserve">, Dec. 2025, doi:</w:t>
      </w:r>
      <w:r>
        <w:t xml:space="preserve"> </w:t>
      </w:r>
      <w:hyperlink r:id="rId23">
        <w:r>
          <w:rPr>
            <w:rStyle w:val="Hyperlink"/>
          </w:rPr>
          <w:t xml:space="preserve">10.26689/jera.v9i6.13175</w:t>
        </w:r>
      </w:hyperlink>
      <w:r>
        <w:t xml:space="preserve">.</w:t>
      </w:r>
    </w:p>
    <w:p>
      <w:pPr>
        <w:pStyle w:val="BodyText"/>
      </w:pPr>
      <w:r>
        <w:t xml:space="preserve">[16]</w:t>
      </w:r>
      <w:r>
        <w:t xml:space="preserve"> </w:t>
      </w:r>
      <w:r>
        <w:t xml:space="preserve">	</w:t>
      </w:r>
      <w:r>
        <w:t xml:space="preserve">J. Li, J. Zhao, X. Shi, X. Huang, and R. Li,</w:t>
      </w:r>
      <w:r>
        <w:t xml:space="preserve"> </w:t>
      </w:r>
      <w:r>
        <w:t xml:space="preserve">“A digital twin and knowledge graph fusion framework for industrial intelligence in the context of industry 5.0 and industrial IoT,”</w:t>
      </w:r>
      <w:r>
        <w:t xml:space="preserve"> </w:t>
      </w:r>
      <w:r>
        <w:rPr>
          <w:i/>
          <w:iCs/>
        </w:rPr>
        <w:t xml:space="preserve">Internet Technology Letters</w:t>
      </w:r>
      <w:r>
        <w:t xml:space="preserve">, Apr. 2026, doi:</w:t>
      </w:r>
      <w:r>
        <w:t xml:space="preserve"> </w:t>
      </w:r>
      <w:hyperlink r:id="rId24">
        <w:r>
          <w:rPr>
            <w:rStyle w:val="Hyperlink"/>
          </w:rPr>
          <w:t xml:space="preserve">10.1002/itl2.70278</w:t>
        </w:r>
      </w:hyperlink>
      <w:r>
        <w:t xml:space="preserve">.</w:t>
      </w:r>
    </w:p>
    <w:p>
      <w:pPr>
        <w:pStyle w:val="BodyText"/>
      </w:pPr>
      <w:r>
        <w:t xml:space="preserve">[17]</w:t>
      </w:r>
      <w:r>
        <w:t xml:space="preserve"> </w:t>
      </w:r>
      <w:r>
        <w:t xml:space="preserve">	</w:t>
      </w:r>
      <w:r>
        <w:t xml:space="preserve">C. Su, X. Tang, Q. Jiang, Y. Han, T. Wang, and D. Jiang,</w:t>
      </w:r>
      <w:r>
        <w:t xml:space="preserve"> </w:t>
      </w:r>
      <w:r>
        <w:t xml:space="preserve">“Digital twin system for manufacturing processes based on a multi-layer knowledge graph model,”</w:t>
      </w:r>
      <w:r>
        <w:t xml:space="preserve"> </w:t>
      </w:r>
      <w:r>
        <w:rPr>
          <w:i/>
          <w:iCs/>
        </w:rPr>
        <w:t xml:space="preserve">Scientific Reports</w:t>
      </w:r>
      <w:r>
        <w:t xml:space="preserve">, Apr. 2025, doi:</w:t>
      </w:r>
      <w:r>
        <w:t xml:space="preserve"> </w:t>
      </w:r>
      <w:hyperlink r:id="rId25">
        <w:r>
          <w:rPr>
            <w:rStyle w:val="Hyperlink"/>
          </w:rPr>
          <w:t xml:space="preserve">10.1038/s41598-024-85053-0</w:t>
        </w:r>
      </w:hyperlink>
      <w:r>
        <w:t xml:space="preserve">.</w:t>
      </w:r>
    </w:p>
    <w:p>
      <w:pPr>
        <w:pStyle w:val="BodyText"/>
      </w:pPr>
      <w:r>
        <w:t xml:space="preserve">[18]</w:t>
      </w:r>
      <w:r>
        <w:t xml:space="preserve"> </w:t>
      </w:r>
      <w:r>
        <w:t xml:space="preserve">	</w:t>
      </w:r>
      <w:r>
        <w:t xml:space="preserve">J. Dao</w:t>
      </w:r>
      <w:r>
        <w:t xml:space="preserve"> </w:t>
      </w:r>
      <w:r>
        <w:rPr>
          <w:i/>
          <w:iCs/>
        </w:rPr>
        <w:t xml:space="preserve">et al.</w:t>
      </w:r>
      <w:r>
        <w:t xml:space="preserve">,</w:t>
      </w:r>
      <w:r>
        <w:t xml:space="preserve"> </w:t>
      </w:r>
      <w:r>
        <w:t xml:space="preserve">“A semantic digital twin-driven framework for multi-source data integration in forest fire prediction and response,”</w:t>
      </w:r>
      <w:r>
        <w:t xml:space="preserve"> </w:t>
      </w:r>
      <w:r>
        <w:rPr>
          <w:i/>
          <w:iCs/>
        </w:rPr>
        <w:t xml:space="preserve">Forests</w:t>
      </w:r>
      <w:r>
        <w:t xml:space="preserve">, Oct. 2025, doi:</w:t>
      </w:r>
      <w:r>
        <w:t xml:space="preserve"> </w:t>
      </w:r>
      <w:hyperlink r:id="rId26">
        <w:r>
          <w:rPr>
            <w:rStyle w:val="Hyperlink"/>
          </w:rPr>
          <w:t xml:space="preserve">10.3390/f16111661</w:t>
        </w:r>
      </w:hyperlink>
      <w:r>
        <w:t xml:space="preserve">.</w:t>
      </w:r>
    </w:p>
    <w:p>
      <w:pPr>
        <w:pStyle w:val="BodyText"/>
      </w:pPr>
      <w:r>
        <w:t xml:space="preserve">[19]</w:t>
      </w:r>
      <w:r>
        <w:t xml:space="preserve"> </w:t>
      </w:r>
      <w:r>
        <w:t xml:space="preserve">	</w:t>
      </w:r>
      <w:r>
        <w:t xml:space="preserve">Y. Wu, D. Huang, L. He, and Y. Kuang,</w:t>
      </w:r>
      <w:r>
        <w:t xml:space="preserve"> </w:t>
      </w:r>
      <w:r>
        <w:t xml:space="preserve">“Application of optical perception knowledge graph-driven digital twin sensor in partial discharge diagnosis of power distribution equipment,”</w:t>
      </w:r>
      <w:r>
        <w:t xml:space="preserve"> </w:t>
      </w:r>
      <w:r>
        <w:rPr>
          <w:i/>
          <w:iCs/>
        </w:rPr>
        <w:t xml:space="preserve">International Conference on Communication, Information and Digital Technologies</w:t>
      </w:r>
      <w:r>
        <w:t xml:space="preserve">, Jan. 2026, doi:</w:t>
      </w:r>
      <w:r>
        <w:t xml:space="preserve"> </w:t>
      </w:r>
      <w:hyperlink r:id="rId27">
        <w:r>
          <w:rPr>
            <w:rStyle w:val="Hyperlink"/>
          </w:rPr>
          <w:t xml:space="preserve">10.1117/12.3092353</w:t>
        </w:r>
      </w:hyperlink>
      <w:r>
        <w:t xml:space="preserve">.</w:t>
      </w:r>
    </w:p>
    <w:p>
      <w:pPr>
        <w:pStyle w:val="BodyText"/>
      </w:pPr>
      <w:r>
        <w:t xml:space="preserve">[20]</w:t>
      </w:r>
      <w:r>
        <w:t xml:space="preserve"> </w:t>
      </w:r>
      <w:r>
        <w:t xml:space="preserve">	</w:t>
      </w:r>
      <w:r>
        <w:t xml:space="preserve">Y. Zhang*, M. Wang, and J. Zhou,</w:t>
      </w:r>
      <w:r>
        <w:t xml:space="preserve"> </w:t>
      </w:r>
      <w:r>
        <w:t xml:space="preserve">“Framework for the application of digital twin technology in intelligent production line condition monitoring and predictive maintenance,”</w:t>
      </w:r>
      <w:r>
        <w:t xml:space="preserve"> </w:t>
      </w:r>
      <w:r>
        <w:rPr>
          <w:i/>
          <w:iCs/>
        </w:rPr>
        <w:t xml:space="preserve">International Scientific Technical and Economic Research</w:t>
      </w:r>
      <w:r>
        <w:t xml:space="preserve">, Nov. 2025, doi:</w:t>
      </w:r>
      <w:r>
        <w:t xml:space="preserve"> </w:t>
      </w:r>
      <w:hyperlink r:id="rId28">
        <w:r>
          <w:rPr>
            <w:rStyle w:val="Hyperlink"/>
          </w:rPr>
          <w:t xml:space="preserve">10.71451/istaer2572</w:t>
        </w:r>
      </w:hyperlink>
      <w:r>
        <w:t xml:space="preserve">.</w:t>
      </w:r>
    </w:p>
    <w:p>
      <w:pPr>
        <w:pStyle w:val="BodyText"/>
      </w:pPr>
      <w:r>
        <w:t xml:space="preserve">[21]</w:t>
      </w:r>
      <w:r>
        <w:t xml:space="preserve"> </w:t>
      </w:r>
      <w:r>
        <w:t xml:space="preserve">	</w:t>
      </w:r>
      <w:r>
        <w:t xml:space="preserve">C. Santos, A. T. Campos, J. A. B. Montevechi, R. C. Miranda, and A. F. B. Costa,</w:t>
      </w:r>
      <w:r>
        <w:t xml:space="preserve"> </w:t>
      </w:r>
      <w:r>
        <w:t xml:space="preserve">“Digital twin simulation models: A validation method based on machine learning and control charts,”</w:t>
      </w:r>
      <w:r>
        <w:t xml:space="preserve"> </w:t>
      </w:r>
      <w:r>
        <w:rPr>
          <w:i/>
          <w:iCs/>
        </w:rPr>
        <w:t xml:space="preserve">International Journal of Production Research</w:t>
      </w:r>
      <w:r>
        <w:t xml:space="preserve">, May 2023, doi:</w:t>
      </w:r>
      <w:r>
        <w:t xml:space="preserve"> </w:t>
      </w:r>
      <w:hyperlink r:id="rId29">
        <w:r>
          <w:rPr>
            <w:rStyle w:val="Hyperlink"/>
          </w:rPr>
          <w:t xml:space="preserve">10.1080/00207543.2023.2217299</w:t>
        </w:r>
      </w:hyperlink>
      <w:r>
        <w:t xml:space="preserve">.</w:t>
      </w:r>
    </w:p>
    <w:p>
      <w:pPr>
        <w:pStyle w:val="BodyText"/>
      </w:pPr>
      <w:r>
        <w:t xml:space="preserve">[22]</w:t>
      </w:r>
      <w:r>
        <w:t xml:space="preserve"> </w:t>
      </w:r>
      <w:r>
        <w:t xml:space="preserve">	</w:t>
      </w:r>
      <w:r>
        <w:t xml:space="preserve">H. Farhat and A. Altarawneh,</w:t>
      </w:r>
      <w:r>
        <w:t xml:space="preserve"> </w:t>
      </w:r>
      <w:r>
        <w:t xml:space="preserve">“Physics-informed machine learning for intelligent gas turbine digital twins: A review,”</w:t>
      </w:r>
      <w:r>
        <w:t xml:space="preserve"> </w:t>
      </w:r>
      <w:r>
        <w:rPr>
          <w:i/>
          <w:iCs/>
        </w:rPr>
        <w:t xml:space="preserve">Energies</w:t>
      </w:r>
      <w:r>
        <w:t xml:space="preserve">, Oct. 2025, doi:</w:t>
      </w:r>
      <w:r>
        <w:t xml:space="preserve"> </w:t>
      </w:r>
      <w:hyperlink r:id="rId30">
        <w:r>
          <w:rPr>
            <w:rStyle w:val="Hyperlink"/>
          </w:rPr>
          <w:t xml:space="preserve">10.3390/en18205523</w:t>
        </w:r>
      </w:hyperlink>
      <w:r>
        <w:t xml:space="preserve">.</w:t>
      </w:r>
    </w:p>
    <w:p>
      <w:pPr>
        <w:pStyle w:val="BodyText"/>
      </w:pPr>
      <w:r>
        <w:t xml:space="preserve">[23]</w:t>
      </w:r>
      <w:r>
        <w:t xml:space="preserve"> </w:t>
      </w:r>
      <w:r>
        <w:t xml:space="preserve">	</w:t>
      </w:r>
      <w:r>
        <w:t xml:space="preserve">D. Krenczyk,</w:t>
      </w:r>
      <w:r>
        <w:t xml:space="preserve"> </w:t>
      </w:r>
      <w:r>
        <w:t xml:space="preserve">“Deep reinforcement learning and discrete simulation-based digital twin for cyber–physical production systems,”</w:t>
      </w:r>
      <w:r>
        <w:t xml:space="preserve"> </w:t>
      </w:r>
      <w:r>
        <w:rPr>
          <w:i/>
          <w:iCs/>
        </w:rPr>
        <w:t xml:space="preserve">Applied Sciences</w:t>
      </w:r>
      <w:r>
        <w:t xml:space="preserve">, June 2024, doi:</w:t>
      </w:r>
      <w:r>
        <w:t xml:space="preserve"> </w:t>
      </w:r>
      <w:hyperlink r:id="rId31">
        <w:r>
          <w:rPr>
            <w:rStyle w:val="Hyperlink"/>
          </w:rPr>
          <w:t xml:space="preserve">10.3390/app14125208</w:t>
        </w:r>
      </w:hyperlink>
      <w:r>
        <w:t xml:space="preserve">.</w:t>
      </w:r>
    </w:p>
    <w:p>
      <w:pPr>
        <w:pStyle w:val="BodyText"/>
      </w:pPr>
      <w:r>
        <w:t xml:space="preserve">[24]</w:t>
      </w:r>
      <w:r>
        <w:t xml:space="preserve"> </w:t>
      </w:r>
      <w:r>
        <w:t xml:space="preserve">	</w:t>
      </w:r>
      <w:r>
        <w:t xml:space="preserve">H. M. Marah and M. Challenger,</w:t>
      </w:r>
      <w:r>
        <w:t xml:space="preserve"> </w:t>
      </w:r>
      <w:r>
        <w:t xml:space="preserve">“Adaptive hybrid reasoning for agent-based digital twins of distributed multi-robot systems,”</w:t>
      </w:r>
      <w:r>
        <w:t xml:space="preserve"> </w:t>
      </w:r>
      <w:r>
        <w:rPr>
          <w:i/>
          <w:iCs/>
        </w:rPr>
        <w:t xml:space="preserve">International Conference on Advances in System Simulation</w:t>
      </w:r>
      <w:r>
        <w:t xml:space="preserve">, Jan. 2024, doi:</w:t>
      </w:r>
      <w:r>
        <w:t xml:space="preserve"> </w:t>
      </w:r>
      <w:hyperlink r:id="rId32">
        <w:r>
          <w:rPr>
            <w:rStyle w:val="Hyperlink"/>
          </w:rPr>
          <w:t xml:space="preserve">10.1177/00375497231226436</w:t>
        </w:r>
      </w:hyperlink>
      <w:r>
        <w:t xml:space="preserve">.</w:t>
      </w:r>
    </w:p>
    <w:p>
      <w:pPr>
        <w:pStyle w:val="BodyText"/>
      </w:pPr>
      <w:r>
        <w:t xml:space="preserve">[25]</w:t>
      </w:r>
      <w:r>
        <w:t xml:space="preserve"> </w:t>
      </w:r>
      <w:r>
        <w:t xml:space="preserve">	</w:t>
      </w:r>
      <w:r>
        <w:t xml:space="preserve">J. H. Ghouse, T. Bebic, Q. Chu, and M. Ibrahim,</w:t>
      </w:r>
      <w:r>
        <w:t xml:space="preserve"> </w:t>
      </w:r>
      <w:r>
        <w:t xml:space="preserve">“Real-time digital twin system for LNG operation monitoring,”</w:t>
      </w:r>
      <w:r>
        <w:t xml:space="preserve"> </w:t>
      </w:r>
      <w:r>
        <w:rPr>
          <w:i/>
          <w:iCs/>
        </w:rPr>
        <w:t xml:space="preserve">Australian Energy Producers Journal</w:t>
      </w:r>
      <w:r>
        <w:t xml:space="preserve">, May 2026, doi:</w:t>
      </w:r>
      <w:r>
        <w:t xml:space="preserve"> </w:t>
      </w:r>
      <w:hyperlink r:id="rId33">
        <w:r>
          <w:rPr>
            <w:rStyle w:val="Hyperlink"/>
          </w:rPr>
          <w:t xml:space="preserve">10.1071/ep25229</w:t>
        </w:r>
      </w:hyperlink>
      <w:r>
        <w:t xml:space="preserve">.</w:t>
      </w:r>
    </w:p>
    <w:p>
      <w:pPr>
        <w:pStyle w:val="BodyText"/>
      </w:pPr>
      <w:r>
        <w:t xml:space="preserve">[26]</w:t>
      </w:r>
      <w:r>
        <w:t xml:space="preserve"> </w:t>
      </w:r>
      <w:r>
        <w:t xml:space="preserve">	</w:t>
      </w:r>
      <w:r>
        <w:t xml:space="preserve">P. Madala,</w:t>
      </w:r>
      <w:r>
        <w:t xml:space="preserve"> </w:t>
      </w:r>
      <w:r>
        <w:t xml:space="preserve">“Integrating digital twins with machine learning for intelligent monitoring of water distribution systems,”</w:t>
      </w:r>
      <w:r>
        <w:t xml:space="preserve"> </w:t>
      </w:r>
      <w:r>
        <w:rPr>
          <w:i/>
          <w:iCs/>
        </w:rPr>
        <w:t xml:space="preserve">International Conference on Communication and Electronics Systems</w:t>
      </w:r>
      <w:r>
        <w:t xml:space="preserve">, Oct. 2025, doi:</w:t>
      </w:r>
      <w:r>
        <w:t xml:space="preserve"> </w:t>
      </w:r>
      <w:hyperlink r:id="rId34">
        <w:r>
          <w:rPr>
            <w:rStyle w:val="Hyperlink"/>
          </w:rPr>
          <w:t xml:space="preserve">10.1109/ICCES67310.2025.11337137</w:t>
        </w:r>
      </w:hyperlink>
      <w:r>
        <w:t xml:space="preserve">.</w:t>
      </w:r>
    </w:p>
    <w:p>
      <w:pPr>
        <w:pStyle w:val="BodyText"/>
      </w:pPr>
      <w:r>
        <w:t xml:space="preserve">[27]</w:t>
      </w:r>
      <w:r>
        <w:t xml:space="preserve"> </w:t>
      </w:r>
      <w:r>
        <w:t xml:space="preserve">	</w:t>
      </w:r>
      <w:r>
        <w:t xml:space="preserve">W. Mbasso, A. Harrison, I. Dagal, P. Jangir, Z. Liu, and A. Smerat,</w:t>
      </w:r>
      <w:r>
        <w:t xml:space="preserve"> </w:t>
      </w:r>
      <w:r>
        <w:t xml:space="preserve">“Digital‐twin‐enabled, time‐aware anomaly detection for industrial cyber‐physical systems,”</w:t>
      </w:r>
      <w:r>
        <w:t xml:space="preserve"> </w:t>
      </w:r>
      <w:r>
        <w:rPr>
          <w:i/>
          <w:iCs/>
        </w:rPr>
        <w:t xml:space="preserve">Digital Twins and Applications</w:t>
      </w:r>
      <w:r>
        <w:t xml:space="preserve">, Dec. 2025, doi:</w:t>
      </w:r>
      <w:r>
        <w:t xml:space="preserve"> </w:t>
      </w:r>
      <w:hyperlink r:id="rId35">
        <w:r>
          <w:rPr>
            <w:rStyle w:val="Hyperlink"/>
          </w:rPr>
          <w:t xml:space="preserve">10.1049/dgt2.70016</w:t>
        </w:r>
      </w:hyperlink>
      <w:r>
        <w:t xml:space="preserve">.</w:t>
      </w:r>
    </w:p>
    <w:p>
      <w:pPr>
        <w:pStyle w:val="BodyText"/>
      </w:pPr>
      <w:r>
        <w:t xml:space="preserve">[28]</w:t>
      </w:r>
      <w:r>
        <w:t xml:space="preserve"> </w:t>
      </w:r>
      <w:r>
        <w:t xml:space="preserve">	</w:t>
      </w:r>
      <w:r>
        <w:t xml:space="preserve">G. Antonesi, T. Cioara, I. Anghel, V. Michalakopoulos, E. Sarmas, and L. Toderean,</w:t>
      </w:r>
      <w:r>
        <w:t xml:space="preserve"> </w:t>
      </w:r>
      <w:r>
        <w:t xml:space="preserve">“From transformers to large language models: A systematic review of AI applications in the energy sector towards agentic digital twins,”</w:t>
      </w:r>
      <w:r>
        <w:t xml:space="preserve"> </w:t>
      </w:r>
      <w:r>
        <w:rPr>
          <w:i/>
          <w:iCs/>
        </w:rPr>
        <w:t xml:space="preserve">arXiv.org</w:t>
      </w:r>
      <w:r>
        <w:t xml:space="preserve">, June 2025, doi:</w:t>
      </w:r>
      <w:r>
        <w:t xml:space="preserve"> </w:t>
      </w:r>
      <w:hyperlink r:id="rId36">
        <w:r>
          <w:rPr>
            <w:rStyle w:val="Hyperlink"/>
          </w:rPr>
          <w:t xml:space="preserve">10.48550/arXiv.2506.06359</w:t>
        </w:r>
      </w:hyperlink>
      <w:r>
        <w:t xml:space="preserve">.</w:t>
      </w:r>
    </w:p>
    <w:p>
      <w:pPr>
        <w:pStyle w:val="BodyText"/>
      </w:pPr>
      <w:r>
        <w:t xml:space="preserve">[29]</w:t>
      </w:r>
      <w:r>
        <w:t xml:space="preserve"> </w:t>
      </w:r>
      <w:r>
        <w:t xml:space="preserve">	</w:t>
      </w:r>
      <w:r>
        <w:t xml:space="preserve">I. Vovk, O. Vovk, Y. Vovk, and V. Palianytsia,</w:t>
      </w:r>
      <w:r>
        <w:t xml:space="preserve"> </w:t>
      </w:r>
      <w:r>
        <w:t xml:space="preserve">“Digital twins in hospitality management: Simulation-based decision models for efficiency optimization in central europe,”</w:t>
      </w:r>
      <w:r>
        <w:t xml:space="preserve"> </w:t>
      </w:r>
      <w:r>
        <w:rPr>
          <w:i/>
          <w:iCs/>
        </w:rPr>
        <w:t xml:space="preserve">Ekonomicko-manazerske spektrum</w:t>
      </w:r>
      <w:r>
        <w:t xml:space="preserve">, Dec. 2025, doi:</w:t>
      </w:r>
      <w:r>
        <w:t xml:space="preserve"> </w:t>
      </w:r>
      <w:hyperlink r:id="rId37">
        <w:r>
          <w:rPr>
            <w:rStyle w:val="Hyperlink"/>
          </w:rPr>
          <w:t xml:space="preserve">10.26552/ems.2025.2.44-59</w:t>
        </w:r>
      </w:hyperlink>
      <w:r>
        <w:t xml:space="preserve">.</w:t>
      </w:r>
    </w:p>
    <w:p>
      <w:pPr>
        <w:pStyle w:val="BodyText"/>
      </w:pPr>
      <w:r>
        <w:t xml:space="preserve">[30]</w:t>
      </w:r>
      <w:r>
        <w:t xml:space="preserve"> </w:t>
      </w:r>
      <w:r>
        <w:t xml:space="preserve">	</w:t>
      </w:r>
      <w:r>
        <w:t xml:space="preserve">R. Para, R. Bhatia, and S. Sandiri,</w:t>
      </w:r>
      <w:r>
        <w:t xml:space="preserve"> </w:t>
      </w:r>
      <w:r>
        <w:t xml:space="preserve">“AI-powered financial digital twins: The next frontier in hyper-personalized, customer-centric financial services,”</w:t>
      </w:r>
      <w:r>
        <w:t xml:space="preserve"> </w:t>
      </w:r>
      <w:r>
        <w:rPr>
          <w:i/>
          <w:iCs/>
        </w:rPr>
        <w:t xml:space="preserve">Journal of Next-Generation Research 5.0</w:t>
      </w:r>
      <w:r>
        <w:t xml:space="preserve">, May 2025, doi:</w:t>
      </w:r>
      <w:r>
        <w:t xml:space="preserve"> </w:t>
      </w:r>
      <w:hyperlink r:id="rId38">
        <w:r>
          <w:rPr>
            <w:rStyle w:val="Hyperlink"/>
          </w:rPr>
          <w:t xml:space="preserve">10.70792/jngr5.0.v1i4.119</w:t>
        </w:r>
      </w:hyperlink>
      <w:r>
        <w:t xml:space="preserve">.</w:t>
      </w:r>
    </w:p>
    <w:p>
      <w:pPr>
        <w:pStyle w:val="BodyText"/>
      </w:pPr>
      <w:r>
        <w:t xml:space="preserve">[31]</w:t>
      </w:r>
      <w:r>
        <w:t xml:space="preserve"> </w:t>
      </w:r>
      <w:r>
        <w:t xml:space="preserve">	</w:t>
      </w:r>
      <w:r>
        <w:t xml:space="preserve">A. T. Wasi, M. A. Anik, A. Rahman, Md. I. Hoque, M. S. Islam, and M. M. Ahsan,</w:t>
      </w:r>
      <w:r>
        <w:t xml:space="preserve"> </w:t>
      </w:r>
      <w:r>
        <w:t xml:space="preserve">“A theoretical framework for graph-based digital twins for supply chain management and optimization,”</w:t>
      </w:r>
      <w:r>
        <w:t xml:space="preserve"> </w:t>
      </w:r>
      <w:r>
        <w:rPr>
          <w:i/>
          <w:iCs/>
        </w:rPr>
        <w:t xml:space="preserve">arXiv.org</w:t>
      </w:r>
      <w:r>
        <w:t xml:space="preserve">, Mar. 2025, doi:</w:t>
      </w:r>
      <w:r>
        <w:t xml:space="preserve"> </w:t>
      </w:r>
      <w:hyperlink r:id="rId39">
        <w:r>
          <w:rPr>
            <w:rStyle w:val="Hyperlink"/>
          </w:rPr>
          <w:t xml:space="preserve">10.48550/arXiv.2504.03692</w:t>
        </w:r>
      </w:hyperlink>
      <w:r>
        <w:t xml:space="preserve">.</w:t>
      </w:r>
    </w:p>
    <w:p>
      <w:pPr>
        <w:pStyle w:val="BodyText"/>
      </w:pPr>
      <w:r>
        <w:t xml:space="preserve">[32]</w:t>
      </w:r>
      <w:r>
        <w:t xml:space="preserve"> </w:t>
      </w:r>
      <w:r>
        <w:t xml:space="preserve">	</w:t>
      </w:r>
      <w:r>
        <w:t xml:space="preserve">S. Gil, E. Kamburjan, P. Talasila, and P. G. Larsen,</w:t>
      </w:r>
      <w:r>
        <w:t xml:space="preserve"> </w:t>
      </w:r>
      <w:r>
        <w:t xml:space="preserve">“An architecture for coupled digital twins with semantic lifting,”</w:t>
      </w:r>
      <w:r>
        <w:t xml:space="preserve"> </w:t>
      </w:r>
      <w:r>
        <w:rPr>
          <w:i/>
          <w:iCs/>
        </w:rPr>
        <w:t xml:space="preserve">Journal of Software and Systems Modeling</w:t>
      </w:r>
      <w:r>
        <w:t xml:space="preserve">, Nov. 2024, doi:</w:t>
      </w:r>
      <w:r>
        <w:t xml:space="preserve"> </w:t>
      </w:r>
      <w:hyperlink r:id="rId40">
        <w:r>
          <w:rPr>
            <w:rStyle w:val="Hyperlink"/>
          </w:rPr>
          <w:t xml:space="preserve">10.1007/s10270-024-01221-w</w:t>
        </w:r>
      </w:hyperlink>
      <w:r>
        <w:t xml:space="preserve">.</w:t>
      </w:r>
    </w:p>
    <w:p>
      <w:pPr>
        <w:pStyle w:val="BodyText"/>
      </w:pPr>
      <w:r>
        <w:t xml:space="preserve">[33]</w:t>
      </w:r>
      <w:r>
        <w:t xml:space="preserve"> </w:t>
      </w:r>
      <w:r>
        <w:t xml:space="preserve">	</w:t>
      </w:r>
      <w:r>
        <w:t xml:space="preserve">A. Bounceur and M. Kara,</w:t>
      </w:r>
      <w:r>
        <w:t xml:space="preserve"> </w:t>
      </w:r>
      <w:r>
        <w:t xml:space="preserve">“Intelligent acting digital twins (IADT),”</w:t>
      </w:r>
      <w:r>
        <w:t xml:space="preserve"> </w:t>
      </w:r>
      <w:r>
        <w:rPr>
          <w:i/>
          <w:iCs/>
        </w:rPr>
        <w:t xml:space="preserve">IEEE Access</w:t>
      </w:r>
      <w:r>
        <w:t xml:space="preserve">, 2025, doi:</w:t>
      </w:r>
      <w:r>
        <w:t xml:space="preserve"> </w:t>
      </w:r>
      <w:hyperlink r:id="rId41">
        <w:r>
          <w:rPr>
            <w:rStyle w:val="Hyperlink"/>
          </w:rPr>
          <w:t xml:space="preserve">10.1109/ACCESS.2025.3532545</w:t>
        </w:r>
      </w:hyperlink>
      <w:r>
        <w:t xml:space="preserve">.</w:t>
      </w:r>
    </w:p>
    <w:p>
      <w:pPr>
        <w:pStyle w:val="BodyText"/>
      </w:pPr>
      <w:r>
        <w:t xml:space="preserve">[34]</w:t>
      </w:r>
      <w:r>
        <w:t xml:space="preserve"> </w:t>
      </w:r>
      <w:r>
        <w:t xml:space="preserve">	</w:t>
      </w:r>
      <w:r>
        <w:t xml:space="preserve">J. D. Lee, A. Alghamdi, and A. K. Zaidi,</w:t>
      </w:r>
      <w:r>
        <w:t xml:space="preserve"> </w:t>
      </w:r>
      <w:r>
        <w:t xml:space="preserve">“Creating a digital twin of an insider threat detection enterprise using model-based systems engineering,”</w:t>
      </w:r>
      <w:r>
        <w:t xml:space="preserve"> </w:t>
      </w:r>
      <w:r>
        <w:rPr>
          <w:i/>
          <w:iCs/>
        </w:rPr>
        <w:t xml:space="preserve">2022 IEEE International Systems Conference (SysCon)</w:t>
      </w:r>
      <w:r>
        <w:t xml:space="preserve">, Apr. 2022, doi:</w:t>
      </w:r>
      <w:r>
        <w:t xml:space="preserve"> </w:t>
      </w:r>
      <w:hyperlink r:id="rId42">
        <w:r>
          <w:rPr>
            <w:rStyle w:val="Hyperlink"/>
          </w:rPr>
          <w:t xml:space="preserve">https://doi.org/10.1109/syscon53536.2022.9773890</w:t>
        </w:r>
      </w:hyperlink>
      <w:r>
        <w:t xml:space="preserve">.</w:t>
      </w:r>
    </w:p>
    <w:p>
      <w:pPr>
        <w:pStyle w:val="BodyText"/>
      </w:pPr>
      <w:r>
        <w:t xml:space="preserve">[35]</w:t>
      </w:r>
      <w:r>
        <w:t xml:space="preserve"> </w:t>
      </w:r>
      <w:r>
        <w:t xml:space="preserve">	</w:t>
      </w:r>
      <w:r>
        <w:t xml:space="preserve">M. Emporio</w:t>
      </w:r>
      <w:r>
        <w:t xml:space="preserve"> </w:t>
      </w:r>
      <w:r>
        <w:rPr>
          <w:i/>
          <w:iCs/>
        </w:rPr>
        <w:t xml:space="preserve">et al.</w:t>
      </w:r>
      <w:r>
        <w:t xml:space="preserve">,</w:t>
      </w:r>
      <w:r>
        <w:t xml:space="preserve"> </w:t>
      </w:r>
      <w:r>
        <w:t xml:space="preserve">“Integration of extended reality with a cyber-physical factory environment and its digital twins,”</w:t>
      </w:r>
      <w:r>
        <w:t xml:space="preserve"> </w:t>
      </w:r>
      <w:r>
        <w:rPr>
          <w:i/>
          <w:iCs/>
        </w:rPr>
        <w:t xml:space="preserve">Proc. ACM Hum. Comput. Interact.</w:t>
      </w:r>
      <w:r>
        <w:t xml:space="preserve">, June 2024, doi:</w:t>
      </w:r>
      <w:r>
        <w:t xml:space="preserve"> </w:t>
      </w:r>
      <w:hyperlink r:id="rId43">
        <w:r>
          <w:rPr>
            <w:rStyle w:val="Hyperlink"/>
          </w:rPr>
          <w:t xml:space="preserve">10.1145/3660246</w:t>
        </w:r>
      </w:hyperlink>
      <w:r>
        <w:t xml:space="preserve">.</w:t>
      </w:r>
    </w:p>
    <w:p>
      <w:pPr>
        <w:pStyle w:val="BodyText"/>
      </w:pPr>
      <w:r>
        <w:t xml:space="preserve">[36]</w:t>
      </w:r>
      <w:r>
        <w:t xml:space="preserve"> </w:t>
      </w:r>
      <w:r>
        <w:t xml:space="preserve">	</w:t>
      </w:r>
      <w:r>
        <w:t xml:space="preserve">H. Kim and H. Suh,</w:t>
      </w:r>
      <w:r>
        <w:t xml:space="preserve"> </w:t>
      </w:r>
      <w:r>
        <w:t xml:space="preserve">“An integrated approach to real-time 3D sensor data visualization for digital twin applications,”</w:t>
      </w:r>
      <w:r>
        <w:t xml:space="preserve"> </w:t>
      </w:r>
      <w:r>
        <w:rPr>
          <w:i/>
          <w:iCs/>
        </w:rPr>
        <w:t xml:space="preserve">Electronics</w:t>
      </w:r>
      <w:r>
        <w:t xml:space="preserve">, July 2025, doi:</w:t>
      </w:r>
      <w:r>
        <w:t xml:space="preserve"> </w:t>
      </w:r>
      <w:hyperlink r:id="rId44">
        <w:r>
          <w:rPr>
            <w:rStyle w:val="Hyperlink"/>
          </w:rPr>
          <w:t xml:space="preserve">10.3390/electronics14152938</w:t>
        </w:r>
      </w:hyperlink>
      <w:r>
        <w:t xml:space="preserve">.</w:t>
      </w:r>
    </w:p>
    <w:p>
      <w:pPr>
        <w:pStyle w:val="BodyText"/>
      </w:pPr>
      <w:r>
        <w:t xml:space="preserve">[37]</w:t>
      </w:r>
      <w:r>
        <w:t xml:space="preserve"> </w:t>
      </w:r>
      <w:r>
        <w:t xml:space="preserve">	</w:t>
      </w:r>
      <w:r>
        <w:t xml:space="preserve">Z. Yang, C.-S. Tang, T. Zhang, Z. Zhang, and D. T. Doan,</w:t>
      </w:r>
      <w:r>
        <w:t xml:space="preserve"> </w:t>
      </w:r>
      <w:r>
        <w:t xml:space="preserve">“Digital twins in construction: Architecture, applications, trends and challenges,”</w:t>
      </w:r>
      <w:r>
        <w:t xml:space="preserve"> </w:t>
      </w:r>
      <w:r>
        <w:rPr>
          <w:i/>
          <w:iCs/>
        </w:rPr>
        <w:t xml:space="preserve">Buildings</w:t>
      </w:r>
      <w:r>
        <w:t xml:space="preserve">, Aug. 2024, doi:</w:t>
      </w:r>
      <w:r>
        <w:t xml:space="preserve"> </w:t>
      </w:r>
      <w:hyperlink r:id="rId45">
        <w:r>
          <w:rPr>
            <w:rStyle w:val="Hyperlink"/>
          </w:rPr>
          <w:t xml:space="preserve">10.3390/buildings14092616</w:t>
        </w:r>
      </w:hyperlink>
      <w:r>
        <w:t xml:space="preserve">.</w:t>
      </w:r>
    </w:p>
    <w:p>
      <w:pPr>
        <w:pStyle w:val="BodyText"/>
      </w:pPr>
      <w:r>
        <w:t xml:space="preserve">[38]</w:t>
      </w:r>
      <w:r>
        <w:t xml:space="preserve"> </w:t>
      </w:r>
      <w:r>
        <w:t xml:space="preserve">	</w:t>
      </w:r>
      <w:r>
        <w:t xml:space="preserve">W. Wang, Y. Liu, X. Chai, and L. Zhang,</w:t>
      </w:r>
      <w:r>
        <w:t xml:space="preserve"> </w:t>
      </w:r>
      <w:r>
        <w:t xml:space="preserve">“Digital twin system framework and information model for industry chain based on industrial internet,”</w:t>
      </w:r>
      <w:r>
        <w:t xml:space="preserve"> </w:t>
      </w:r>
      <w:r>
        <w:rPr>
          <w:i/>
          <w:iCs/>
        </w:rPr>
        <w:t xml:space="preserve">Frontiers of Information Technology &amp; Electronic Engineering</w:t>
      </w:r>
      <w:r>
        <w:t xml:space="preserve">, July 2024, doi:</w:t>
      </w:r>
      <w:r>
        <w:t xml:space="preserve"> </w:t>
      </w:r>
      <w:hyperlink r:id="rId46">
        <w:r>
          <w:rPr>
            <w:rStyle w:val="Hyperlink"/>
          </w:rPr>
          <w:t xml:space="preserve">10.1631/FITEE.2300123</w:t>
        </w:r>
      </w:hyperlink>
      <w:r>
        <w:t xml:space="preserve">.</w:t>
      </w:r>
    </w:p>
    <w:p>
      <w:pPr>
        <w:pStyle w:val="BodyText"/>
      </w:pPr>
      <w:r>
        <w:t xml:space="preserve">[39]</w:t>
      </w:r>
      <w:r>
        <w:t xml:space="preserve"> </w:t>
      </w:r>
      <w:r>
        <w:t xml:space="preserve">	</w:t>
      </w:r>
      <w:r>
        <w:t xml:space="preserve">N. Nasir and H. A. Hamadi,</w:t>
      </w:r>
      <w:r>
        <w:t xml:space="preserve"> </w:t>
      </w:r>
      <w:r>
        <w:t xml:space="preserve">“Towards the neuromorphic cyber-twin: An architecture for cognitive defense in digital twin ecosystems,”</w:t>
      </w:r>
      <w:r>
        <w:t xml:space="preserve"> </w:t>
      </w:r>
      <w:r>
        <w:rPr>
          <w:i/>
          <w:iCs/>
        </w:rPr>
        <w:t xml:space="preserve">Frontiers Big Data</w:t>
      </w:r>
      <w:r>
        <w:t xml:space="preserve">, Nov. 2025, doi:</w:t>
      </w:r>
      <w:r>
        <w:t xml:space="preserve"> </w:t>
      </w:r>
      <w:hyperlink r:id="rId47">
        <w:r>
          <w:rPr>
            <w:rStyle w:val="Hyperlink"/>
          </w:rPr>
          <w:t xml:space="preserve">10.3389/fdata.2025.1659757</w:t>
        </w:r>
      </w:hyperlink>
      <w:r>
        <w:t xml:space="preserve">.</w:t>
      </w:r>
    </w:p>
    <w:p>
      <w:pPr>
        <w:pStyle w:val="BodyText"/>
      </w:pPr>
      <w:r>
        <w:t xml:space="preserve">[40]</w:t>
      </w:r>
      <w:r>
        <w:t xml:space="preserve"> </w:t>
      </w:r>
      <w:r>
        <w:t xml:space="preserve">	</w:t>
      </w:r>
      <w:r>
        <w:t xml:space="preserve">M. Homaei, V. Morales, Ó. Mogollón-Gutiérrez, and A. Caro,</w:t>
      </w:r>
      <w:r>
        <w:t xml:space="preserve"> </w:t>
      </w:r>
      <w:r>
        <w:t xml:space="preserve">“The dark side of digital twins: Adversarial attacks on AI-driven water forecasting,”</w:t>
      </w:r>
      <w:r>
        <w:t xml:space="preserve"> </w:t>
      </w:r>
      <w:r>
        <w:rPr>
          <w:i/>
          <w:iCs/>
        </w:rPr>
        <w:t xml:space="preserve">arXiv.org</w:t>
      </w:r>
      <w:r>
        <w:t xml:space="preserve">, Apr. 2025, doi:</w:t>
      </w:r>
      <w:r>
        <w:t xml:space="preserve"> </w:t>
      </w:r>
      <w:hyperlink r:id="rId48">
        <w:r>
          <w:rPr>
            <w:rStyle w:val="Hyperlink"/>
          </w:rPr>
          <w:t xml:space="preserve">10.48550/arXiv.2504.20295</w:t>
        </w:r>
      </w:hyperlink>
      <w:r>
        <w:t xml:space="preserve">.</w:t>
      </w:r>
    </w:p>
    <w:p>
      <w:pPr>
        <w:pStyle w:val="BodyText"/>
      </w:pPr>
      <w:r>
        <w:t xml:space="preserve">[41]</w:t>
      </w:r>
      <w:r>
        <w:t xml:space="preserve"> </w:t>
      </w:r>
      <w:r>
        <w:t xml:space="preserve">	</w:t>
      </w:r>
      <w:r>
        <w:t xml:space="preserve">Y. Zou, G. Xiao, Q. Li, and S. A. Biancardo,</w:t>
      </w:r>
      <w:r>
        <w:t xml:space="preserve"> </w:t>
      </w:r>
      <w:r>
        <w:t xml:space="preserve">“Intelligent maritime shipping: A bibliometric analysis of internet technologies and automated port infrastructure applications,”</w:t>
      </w:r>
      <w:r>
        <w:t xml:space="preserve"> </w:t>
      </w:r>
      <w:r>
        <w:rPr>
          <w:i/>
          <w:iCs/>
        </w:rPr>
        <w:t xml:space="preserve">Journal of Marine Science and Engineering</w:t>
      </w:r>
      <w:r>
        <w:t xml:space="preserve">, May 2025, doi:</w:t>
      </w:r>
      <w:r>
        <w:t xml:space="preserve"> </w:t>
      </w:r>
      <w:hyperlink r:id="rId49">
        <w:r>
          <w:rPr>
            <w:rStyle w:val="Hyperlink"/>
          </w:rPr>
          <w:t xml:space="preserve">https://doi.org/10.3390/jmse13050979</w:t>
        </w:r>
      </w:hyperlink>
      <w:r>
        <w:t xml:space="preserve">.</w:t>
      </w:r>
    </w:p>
    <w:p>
      <w:pPr>
        <w:pStyle w:val="BodyText"/>
      </w:pPr>
      <w:r>
        <w:t xml:space="preserve">[42]</w:t>
      </w:r>
      <w:r>
        <w:t xml:space="preserve"> </w:t>
      </w:r>
      <w:r>
        <w:t xml:space="preserve">	</w:t>
      </w:r>
      <w:r>
        <w:t xml:space="preserve">F. Islam,</w:t>
      </w:r>
      <w:r>
        <w:t xml:space="preserve"> </w:t>
      </w:r>
      <w:r>
        <w:t xml:space="preserve">“A multi-dimensional AI framework for sustainable drinking water management: Integrating federated learning, digital twins, and blockchain,”</w:t>
      </w:r>
      <w:r>
        <w:t xml:space="preserve"> </w:t>
      </w:r>
      <w:r>
        <w:rPr>
          <w:i/>
          <w:iCs/>
        </w:rPr>
        <w:t xml:space="preserve">Journal of Engineering Research and Reports</w:t>
      </w:r>
      <w:r>
        <w:t xml:space="preserve">, June 2025, doi:</w:t>
      </w:r>
      <w:r>
        <w:t xml:space="preserve"> </w:t>
      </w:r>
      <w:hyperlink r:id="rId50">
        <w:r>
          <w:rPr>
            <w:rStyle w:val="Hyperlink"/>
          </w:rPr>
          <w:t xml:space="preserve">10.9734/jerr/2025/v27i61558</w:t>
        </w:r>
      </w:hyperlink>
      <w:r>
        <w:t xml:space="preserve">.</w:t>
      </w:r>
    </w:p>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 Type="http://schemas.openxmlformats.org/officeDocument/2006/relationships/hyperlink" Id="rId24" Target="https://doi.org/10.1002/itl2.70278" TargetMode="External" /><Relationship Type="http://schemas.openxmlformats.org/officeDocument/2006/relationships/hyperlink" Id="rId40" Target="https://doi.org/10.1007/s10270-024-01221-w" TargetMode="External" /><Relationship Type="http://schemas.openxmlformats.org/officeDocument/2006/relationships/hyperlink" Id="rId11" Target="https://doi.org/10.1016/j.iot.2024.101477" TargetMode="External" /><Relationship Type="http://schemas.openxmlformats.org/officeDocument/2006/relationships/hyperlink" Id="rId25" Target="https://doi.org/10.1038/s41598-024-85053-0" TargetMode="External" /><Relationship Type="http://schemas.openxmlformats.org/officeDocument/2006/relationships/hyperlink" Id="rId35" Target="https://doi.org/10.1049/dgt2.70016" TargetMode="External" /><Relationship Type="http://schemas.openxmlformats.org/officeDocument/2006/relationships/hyperlink" Id="rId33" Target="https://doi.org/10.1071/ep25229" TargetMode="External" /><Relationship Type="http://schemas.openxmlformats.org/officeDocument/2006/relationships/hyperlink" Id="rId29" Target="https://doi.org/10.1080/00207543.2023.2217299" TargetMode="External" /><Relationship Type="http://schemas.openxmlformats.org/officeDocument/2006/relationships/hyperlink" Id="rId41" Target="https://doi.org/10.1109/ACCESS.2025.3532545" TargetMode="External" /><Relationship Type="http://schemas.openxmlformats.org/officeDocument/2006/relationships/hyperlink" Id="rId20" Target="https://doi.org/10.1109/CASE59546.2024.10711409" TargetMode="External" /><Relationship Type="http://schemas.openxmlformats.org/officeDocument/2006/relationships/hyperlink" Id="rId16" Target="https://doi.org/10.1109/ICCCA66364.2025.11325395" TargetMode="External" /><Relationship Type="http://schemas.openxmlformats.org/officeDocument/2006/relationships/hyperlink" Id="rId34" Target="https://doi.org/10.1109/ICCES67310.2025.11337137" TargetMode="External" /><Relationship Type="http://schemas.openxmlformats.org/officeDocument/2006/relationships/hyperlink" Id="rId17" Target="https://doi.org/10.1109/OJIES.2025.3628531" TargetMode="External" /><Relationship Type="http://schemas.openxmlformats.org/officeDocument/2006/relationships/hyperlink" Id="rId10" Target="https://doi.org/10.1109/WSC57314.2022.10015412" TargetMode="External" /><Relationship Type="http://schemas.openxmlformats.org/officeDocument/2006/relationships/hyperlink" Id="rId9" Target="https://doi.org/10.1109/access.2024.3381778" TargetMode="External" /><Relationship Type="http://schemas.openxmlformats.org/officeDocument/2006/relationships/hyperlink" Id="rId42" Target="https://doi.org/10.1109/syscon53536.2022.9773890" TargetMode="External" /><Relationship Type="http://schemas.openxmlformats.org/officeDocument/2006/relationships/hyperlink" Id="rId27" Target="https://doi.org/10.1117/12.3092353" TargetMode="External" /><Relationship Type="http://schemas.openxmlformats.org/officeDocument/2006/relationships/hyperlink" Id="rId43" Target="https://doi.org/10.1145/3660246" TargetMode="External" /><Relationship Type="http://schemas.openxmlformats.org/officeDocument/2006/relationships/hyperlink" Id="rId15" Target="https://doi.org/10.1145/3674974" TargetMode="External" /><Relationship Type="http://schemas.openxmlformats.org/officeDocument/2006/relationships/hyperlink" Id="rId32" Target="https://doi.org/10.1177/00375497231226436" TargetMode="External" /><Relationship Type="http://schemas.openxmlformats.org/officeDocument/2006/relationships/hyperlink" Id="rId46" Target="https://doi.org/10.1631/FITEE.2300123" TargetMode="External" /><Relationship Type="http://schemas.openxmlformats.org/officeDocument/2006/relationships/hyperlink" Id="rId14" Target="https://doi.org/10.18698/0536-1044-2023-5-37-48" TargetMode="External" /><Relationship Type="http://schemas.openxmlformats.org/officeDocument/2006/relationships/hyperlink" Id="rId37" Target="https://doi.org/10.26552/ems.2025.2.44-59" TargetMode="External" /><Relationship Type="http://schemas.openxmlformats.org/officeDocument/2006/relationships/hyperlink" Id="rId23" Target="https://doi.org/10.26689/jera.v9i6.13175" TargetMode="External" /><Relationship Type="http://schemas.openxmlformats.org/officeDocument/2006/relationships/hyperlink" Id="rId21" Target="https://doi.org/10.32628/ijsrssh243671" TargetMode="External" /><Relationship Type="http://schemas.openxmlformats.org/officeDocument/2006/relationships/hyperlink" Id="rId47" Target="https://doi.org/10.3389/fdata.2025.1659757" TargetMode="External" /><Relationship Type="http://schemas.openxmlformats.org/officeDocument/2006/relationships/hyperlink" Id="rId31" Target="https://doi.org/10.3390/app14125208" TargetMode="External" /><Relationship Type="http://schemas.openxmlformats.org/officeDocument/2006/relationships/hyperlink" Id="rId19" Target="https://doi.org/10.3390/app16094541" TargetMode="External" /><Relationship Type="http://schemas.openxmlformats.org/officeDocument/2006/relationships/hyperlink" Id="rId45" Target="https://doi.org/10.3390/buildings14092616" TargetMode="External" /><Relationship Type="http://schemas.openxmlformats.org/officeDocument/2006/relationships/hyperlink" Id="rId44" Target="https://doi.org/10.3390/electronics14152938" TargetMode="External" /><Relationship Type="http://schemas.openxmlformats.org/officeDocument/2006/relationships/hyperlink" Id="rId30" Target="https://doi.org/10.3390/en18205523" TargetMode="External" /><Relationship Type="http://schemas.openxmlformats.org/officeDocument/2006/relationships/hyperlink" Id="rId26" Target="https://doi.org/10.3390/f16111661" TargetMode="External" /><Relationship Type="http://schemas.openxmlformats.org/officeDocument/2006/relationships/hyperlink" Id="rId12" Target="https://doi.org/10.3390/fi17010041" TargetMode="External" /><Relationship Type="http://schemas.openxmlformats.org/officeDocument/2006/relationships/hyperlink" Id="rId49" Target="https://doi.org/10.3390/jmse13050979" TargetMode="External" /><Relationship Type="http://schemas.openxmlformats.org/officeDocument/2006/relationships/hyperlink" Id="rId18" Target="https://doi.org/10.3390/su16208865" TargetMode="External" /><Relationship Type="http://schemas.openxmlformats.org/officeDocument/2006/relationships/hyperlink" Id="rId13" Target="https://doi.org/10.37745/ejcsit.2013/vol13n2396114" TargetMode="External" /><Relationship Type="http://schemas.openxmlformats.org/officeDocument/2006/relationships/hyperlink" Id="rId22" Target="https://doi.org/10.4043/36648-ms" TargetMode="External" /><Relationship Type="http://schemas.openxmlformats.org/officeDocument/2006/relationships/hyperlink" Id="rId39" Target="https://doi.org/10.48550/arXiv.2504.03692" TargetMode="External" /><Relationship Type="http://schemas.openxmlformats.org/officeDocument/2006/relationships/hyperlink" Id="rId48" Target="https://doi.org/10.48550/arXiv.2504.20295" TargetMode="External" /><Relationship Type="http://schemas.openxmlformats.org/officeDocument/2006/relationships/hyperlink" Id="rId36" Target="https://doi.org/10.48550/arXiv.2506.06359" TargetMode="External" /><Relationship Type="http://schemas.openxmlformats.org/officeDocument/2006/relationships/hyperlink" Id="rId38" Target="https://doi.org/10.70792/jngr5.0.v1i4.119" TargetMode="External" /><Relationship Type="http://schemas.openxmlformats.org/officeDocument/2006/relationships/hyperlink" Id="rId28" Target="https://doi.org/10.71451/istaer2572" TargetMode="External" /><Relationship Type="http://schemas.openxmlformats.org/officeDocument/2006/relationships/hyperlink" Id="rId50" Target="https://doi.org/10.9734/jerr/2025/v27i61558" TargetMode="External" /></Relationships>
</file>

<file path=word/_rels/footnotes.xml.rels><?xml version="1.0" encoding="UTF-8"?><Relationships xmlns="http://schemas.openxmlformats.org/package/2006/relationships"><Relationship Type="http://schemas.openxmlformats.org/officeDocument/2006/relationships/hyperlink" Id="rId24" Target="https://doi.org/10.1002/itl2.70278" TargetMode="External" /><Relationship Type="http://schemas.openxmlformats.org/officeDocument/2006/relationships/hyperlink" Id="rId40" Target="https://doi.org/10.1007/s10270-024-01221-w" TargetMode="External" /><Relationship Type="http://schemas.openxmlformats.org/officeDocument/2006/relationships/hyperlink" Id="rId11" Target="https://doi.org/10.1016/j.iot.2024.101477" TargetMode="External" /><Relationship Type="http://schemas.openxmlformats.org/officeDocument/2006/relationships/hyperlink" Id="rId25" Target="https://doi.org/10.1038/s41598-024-85053-0" TargetMode="External" /><Relationship Type="http://schemas.openxmlformats.org/officeDocument/2006/relationships/hyperlink" Id="rId35" Target="https://doi.org/10.1049/dgt2.70016" TargetMode="External" /><Relationship Type="http://schemas.openxmlformats.org/officeDocument/2006/relationships/hyperlink" Id="rId33" Target="https://doi.org/10.1071/ep25229" TargetMode="External" /><Relationship Type="http://schemas.openxmlformats.org/officeDocument/2006/relationships/hyperlink" Id="rId29" Target="https://doi.org/10.1080/00207543.2023.2217299" TargetMode="External" /><Relationship Type="http://schemas.openxmlformats.org/officeDocument/2006/relationships/hyperlink" Id="rId41" Target="https://doi.org/10.1109/ACCESS.2025.3532545" TargetMode="External" /><Relationship Type="http://schemas.openxmlformats.org/officeDocument/2006/relationships/hyperlink" Id="rId20" Target="https://doi.org/10.1109/CASE59546.2024.10711409" TargetMode="External" /><Relationship Type="http://schemas.openxmlformats.org/officeDocument/2006/relationships/hyperlink" Id="rId16" Target="https://doi.org/10.1109/ICCCA66364.2025.11325395" TargetMode="External" /><Relationship Type="http://schemas.openxmlformats.org/officeDocument/2006/relationships/hyperlink" Id="rId34" Target="https://doi.org/10.1109/ICCES67310.2025.11337137" TargetMode="External" /><Relationship Type="http://schemas.openxmlformats.org/officeDocument/2006/relationships/hyperlink" Id="rId17" Target="https://doi.org/10.1109/OJIES.2025.3628531" TargetMode="External" /><Relationship Type="http://schemas.openxmlformats.org/officeDocument/2006/relationships/hyperlink" Id="rId10" Target="https://doi.org/10.1109/WSC57314.2022.10015412" TargetMode="External" /><Relationship Type="http://schemas.openxmlformats.org/officeDocument/2006/relationships/hyperlink" Id="rId9" Target="https://doi.org/10.1109/access.2024.3381778" TargetMode="External" /><Relationship Type="http://schemas.openxmlformats.org/officeDocument/2006/relationships/hyperlink" Id="rId42" Target="https://doi.org/10.1109/syscon53536.2022.9773890" TargetMode="External" /><Relationship Type="http://schemas.openxmlformats.org/officeDocument/2006/relationships/hyperlink" Id="rId27" Target="https://doi.org/10.1117/12.3092353" TargetMode="External" /><Relationship Type="http://schemas.openxmlformats.org/officeDocument/2006/relationships/hyperlink" Id="rId43" Target="https://doi.org/10.1145/3660246" TargetMode="External" /><Relationship Type="http://schemas.openxmlformats.org/officeDocument/2006/relationships/hyperlink" Id="rId15" Target="https://doi.org/10.1145/3674974" TargetMode="External" /><Relationship Type="http://schemas.openxmlformats.org/officeDocument/2006/relationships/hyperlink" Id="rId32" Target="https://doi.org/10.1177/00375497231226436" TargetMode="External" /><Relationship Type="http://schemas.openxmlformats.org/officeDocument/2006/relationships/hyperlink" Id="rId46" Target="https://doi.org/10.1631/FITEE.2300123" TargetMode="External" /><Relationship Type="http://schemas.openxmlformats.org/officeDocument/2006/relationships/hyperlink" Id="rId14" Target="https://doi.org/10.18698/0536-1044-2023-5-37-48" TargetMode="External" /><Relationship Type="http://schemas.openxmlformats.org/officeDocument/2006/relationships/hyperlink" Id="rId37" Target="https://doi.org/10.26552/ems.2025.2.44-59" TargetMode="External" /><Relationship Type="http://schemas.openxmlformats.org/officeDocument/2006/relationships/hyperlink" Id="rId23" Target="https://doi.org/10.26689/jera.v9i6.13175" TargetMode="External" /><Relationship Type="http://schemas.openxmlformats.org/officeDocument/2006/relationships/hyperlink" Id="rId21" Target="https://doi.org/10.32628/ijsrssh243671" TargetMode="External" /><Relationship Type="http://schemas.openxmlformats.org/officeDocument/2006/relationships/hyperlink" Id="rId47" Target="https://doi.org/10.3389/fdata.2025.1659757" TargetMode="External" /><Relationship Type="http://schemas.openxmlformats.org/officeDocument/2006/relationships/hyperlink" Id="rId31" Target="https://doi.org/10.3390/app14125208" TargetMode="External" /><Relationship Type="http://schemas.openxmlformats.org/officeDocument/2006/relationships/hyperlink" Id="rId19" Target="https://doi.org/10.3390/app16094541" TargetMode="External" /><Relationship Type="http://schemas.openxmlformats.org/officeDocument/2006/relationships/hyperlink" Id="rId45" Target="https://doi.org/10.3390/buildings14092616" TargetMode="External" /><Relationship Type="http://schemas.openxmlformats.org/officeDocument/2006/relationships/hyperlink" Id="rId44" Target="https://doi.org/10.3390/electronics14152938" TargetMode="External" /><Relationship Type="http://schemas.openxmlformats.org/officeDocument/2006/relationships/hyperlink" Id="rId30" Target="https://doi.org/10.3390/en18205523" TargetMode="External" /><Relationship Type="http://schemas.openxmlformats.org/officeDocument/2006/relationships/hyperlink" Id="rId26" Target="https://doi.org/10.3390/f16111661" TargetMode="External" /><Relationship Type="http://schemas.openxmlformats.org/officeDocument/2006/relationships/hyperlink" Id="rId12" Target="https://doi.org/10.3390/fi17010041" TargetMode="External" /><Relationship Type="http://schemas.openxmlformats.org/officeDocument/2006/relationships/hyperlink" Id="rId49" Target="https://doi.org/10.3390/jmse13050979" TargetMode="External" /><Relationship Type="http://schemas.openxmlformats.org/officeDocument/2006/relationships/hyperlink" Id="rId18" Target="https://doi.org/10.3390/su16208865" TargetMode="External" /><Relationship Type="http://schemas.openxmlformats.org/officeDocument/2006/relationships/hyperlink" Id="rId13" Target="https://doi.org/10.37745/ejcsit.2013/vol13n2396114" TargetMode="External" /><Relationship Type="http://schemas.openxmlformats.org/officeDocument/2006/relationships/hyperlink" Id="rId22" Target="https://doi.org/10.4043/36648-ms" TargetMode="External" /><Relationship Type="http://schemas.openxmlformats.org/officeDocument/2006/relationships/hyperlink" Id="rId39" Target="https://doi.org/10.48550/arXiv.2504.03692" TargetMode="External" /><Relationship Type="http://schemas.openxmlformats.org/officeDocument/2006/relationships/hyperlink" Id="rId48" Target="https://doi.org/10.48550/arXiv.2504.20295" TargetMode="External" /><Relationship Type="http://schemas.openxmlformats.org/officeDocument/2006/relationships/hyperlink" Id="rId36" Target="https://doi.org/10.48550/arXiv.2506.06359" TargetMode="External" /><Relationship Type="http://schemas.openxmlformats.org/officeDocument/2006/relationships/hyperlink" Id="rId38" Target="https://doi.org/10.70792/jngr5.0.v1i4.119" TargetMode="External" /><Relationship Type="http://schemas.openxmlformats.org/officeDocument/2006/relationships/hyperlink" Id="rId28" Target="https://doi.org/10.71451/istaer2572" TargetMode="External" /><Relationship Type="http://schemas.openxmlformats.org/officeDocument/2006/relationships/hyperlink" Id="rId50" Target="https://doi.org/10.9734/jerr/2025/v27i61558"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2026-06-07T18:50:05Z</dcterms:created>
  <dcterms:modified xsi:type="dcterms:W3CDTF">2026-06-07T18:50:05Z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ibliography">
    <vt:lpwstr>/tmp/document-temp/references_da897bb5e34ca333_1780858204.bib</vt:lpwstr>
  </property>
  <property fmtid="{D5CDD505-2E9C-101B-9397-08002B2CF9AE}" pid="3" name="csl">
    <vt:lpwstr>/tmp/document-temp/style_da897bb5e34ca333_1780858204.csl</vt:lpwstr>
  </property>
  <property fmtid="{D5CDD505-2E9C-101B-9397-08002B2CF9AE}" pid="4" name="link-citations">
    <vt:lpwstr>True</vt:lpwstr>
  </property>
</Properties>
</file>