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Heading1"/>
      </w:pPr>
      <w:r>
        <w:t xml:space="preserve">Prompt 8 — AI-Augmented Portfolio Management</w:t>
      </w:r>
    </w:p>
    <w:p>
      <w:pPr>
        <w:pStyle w:val="FirstParagraph"/>
      </w:pPr>
      <w:r>
        <w:t xml:space="preserve">Conduct a state-of-the-art review of portfolio management, capability-based planning, strategic investment analysis, mission value assessment, earned value management, and optimization algorithms. Assess how AI systems can continuously evaluate portfolios, recommend investment strategies, identify redundancies, and maximize mission outcomes under resource constraints.</w:t>
      </w:r>
    </w:p>
    <w:p>
      <w:pPr>
        <w:pStyle w:val="BodyText"/>
      </w:pPr>
      <w:r>
        <w:rPr>
          <w:b/>
          <w:bCs/>
        </w:rPr>
        <w:t xml:space="preserve">Generated on:</w:t>
      </w:r>
      <w:r>
        <w:t xml:space="preserve"> </w:t>
      </w:r>
      <w:r>
        <w:t xml:space="preserve">June 07, 2026</w:t>
      </w:r>
    </w:p>
    <w:p>
      <w:r>
        <w:pict>
          <v:rect style="width:0;height:1.5pt" o:hralign="center" o:hrstd="t" o:hr="t"/>
        </w:pict>
      </w:r>
    </w:p>
    <w:p>
      <w:pPr>
        <w:pStyle w:val="FirstParagraph"/>
      </w:pPr>
      <w:r>
        <w:t xml:space="preserve">Excellent! I have gathered substantial literature. Now let me create an outline and develop the comprehensive literature review based on the papers I've found. Let me structure this as a formal state-of-the-art review with citations throughout.</w:t>
      </w:r>
    </w:p>
    <w:p>
      <w:r>
        <w:pict>
          <v:rect style="width:0;height:1.5pt" o:hralign="center" o:hrstd="t" o:hr="t"/>
        </w:pict>
      </w:r>
    </w:p>
    <w:p>
      <w:pPr>
        <w:pStyle w:val="Heading1"/>
      </w:pPr>
      <w:r>
        <w:t xml:space="preserve">State-of-the-Art Review: AI-Augmented Portfolio Management</w:t>
      </w:r>
    </w:p>
    <w:p>
      <w:pPr>
        <w:pStyle w:val="Heading2"/>
      </w:pPr>
      <w:r>
        <w:t xml:space="preserve">I. Foundation: Portfolio Management and Core Concepts</w:t>
      </w:r>
    </w:p>
    <w:p>
      <w:pPr>
        <w:pStyle w:val="Heading3"/>
      </w:pPr>
      <w:r>
        <w:t xml:space="preserve">A. Traditional Portfolio Optimization Theory</w:t>
      </w:r>
    </w:p>
    <w:p>
      <w:pPr>
        <w:pStyle w:val="FirstParagraph"/>
      </w:pPr>
      <w:r>
        <w:t xml:space="preserve">Modern portfolio management emerged from foundational mean-variance optimization principles, which have been extended significantly through both conventional and AI-driven methodologies</w:t>
      </w:r>
      <w:r>
        <w:t xml:space="preserve"> </w:t>
      </w:r>
      <w:hyperlink w:anchor="ref-d2024">
        <w:r>
          <w:rPr>
            <w:rStyle w:val="Hyperlink"/>
          </w:rPr>
          <w:t xml:space="preserve">[1]</w:t>
        </w:r>
      </w:hyperlink>
      <w:r>
        <w:t xml:space="preserve">. Portfolio management integrates cost, schedule, and performance dimensions to optimize asset allocation across constrained resource environments</w:t>
      </w:r>
      <w:r>
        <w:t xml:space="preserve"> </w:t>
      </w:r>
      <w:hyperlink w:anchor="ref-h2024">
        <w:r>
          <w:rPr>
            <w:rStyle w:val="Hyperlink"/>
          </w:rPr>
          <w:t xml:space="preserve">[2]</w:t>
        </w:r>
      </w:hyperlink>
      <w:r>
        <w:t xml:space="preserve">. Traditional approaches to portfolio optimization, including fundamental and technical analysis, are increasingly being augmented with machine learning systems that analyze vast datasets more efficiently than conventional methods</w:t>
      </w:r>
      <w:r>
        <w:t xml:space="preserve"> </w:t>
      </w:r>
      <w:hyperlink w:anchor="ref-andreas2024">
        <w:r>
          <w:rPr>
            <w:rStyle w:val="Hyperlink"/>
          </w:rPr>
          <w:t xml:space="preserve">[3]</w:t>
        </w:r>
      </w:hyperlink>
      <w:r>
        <w:t xml:space="preserve">. Advanced convex optimization techniques combined with multi-factor models and algorithms like the multi-armed bandit approach enhance portfolio performance, particularly during market volatility</w:t>
      </w:r>
      <w:r>
        <w:t xml:space="preserve"> </w:t>
      </w:r>
      <w:hyperlink w:anchor="ref-h2024">
        <w:r>
          <w:rPr>
            <w:rStyle w:val="Hyperlink"/>
          </w:rPr>
          <w:t xml:space="preserve">[2]</w:t>
        </w:r>
      </w:hyperlink>
      <w:r>
        <w:t xml:space="preserve">.</w:t>
      </w:r>
    </w:p>
    <w:p>
      <w:pPr>
        <w:pStyle w:val="BodyText"/>
      </w:pPr>
      <w:r>
        <w:t xml:space="preserve">The integration of earned value management with portfolio planning frameworks demonstrates how organizations can simultaneously track cost performance indices, schedule performance indices, and risk metrics across project portfolios</w:t>
      </w:r>
      <w:r>
        <w:t xml:space="preserve"> </w:t>
      </w:r>
      <w:hyperlink w:anchor="ref-hitesh2026">
        <w:r>
          <w:rPr>
            <w:rStyle w:val="Hyperlink"/>
          </w:rPr>
          <w:t xml:space="preserve">[4]</w:t>
        </w:r>
      </w:hyperlink>
      <w:r>
        <w:t xml:space="preserve">. Risk-based earned value management approaches incorporate correlation factors between project delays and cost overruns, enabling more robust forecasting than traditional single-value estimates</w:t>
      </w:r>
      <w:r>
        <w:t xml:space="preserve"> </w:t>
      </w:r>
      <w:hyperlink w:anchor="ref-nguyen2025">
        <w:r>
          <w:rPr>
            <w:rStyle w:val="Hyperlink"/>
          </w:rPr>
          <w:t xml:space="preserve">[5]</w:t>
        </w:r>
      </w:hyperlink>
      <w:r>
        <w:t xml:space="preserve">.</w:t>
      </w:r>
    </w:p>
    <w:p>
      <w:pPr>
        <w:pStyle w:val="Heading3"/>
      </w:pPr>
      <w:r>
        <w:t xml:space="preserve">B. Capability-Based Planning</w:t>
      </w:r>
    </w:p>
    <w:p>
      <w:pPr>
        <w:pStyle w:val="FirstParagraph"/>
      </w:pPr>
      <w:r>
        <w:t xml:space="preserve">Capability-based planning represents a critical shift from asset-centric to outcome-centric portfolio management. The integration of project portfolio management with enterprise architecture and capability-based planning frameworks enables multi-criteria selection processes grounded in organizational strategic objectives</w:t>
      </w:r>
      <w:r>
        <w:t xml:space="preserve"> </w:t>
      </w:r>
      <w:hyperlink w:anchor="ref-adina2019">
        <w:r>
          <w:rPr>
            <w:rStyle w:val="Hyperlink"/>
          </w:rPr>
          <w:t xml:space="preserve">[6]</w:t>
        </w:r>
      </w:hyperlink>
      <w:r>
        <w:t xml:space="preserve">. This approach uses analytical techniques such as analytical hierarchy process (AHP) and linear programming to align project selection with organizational capabilities</w:t>
      </w:r>
      <w:r>
        <w:t xml:space="preserve"> </w:t>
      </w:r>
      <w:hyperlink w:anchor="ref-adina2019">
        <w:r>
          <w:rPr>
            <w:rStyle w:val="Hyperlink"/>
          </w:rPr>
          <w:t xml:space="preserve">[6]</w:t>
        </w:r>
      </w:hyperlink>
      <w:r>
        <w:t xml:space="preserve">.</w:t>
      </w:r>
    </w:p>
    <w:p>
      <w:pPr>
        <w:pStyle w:val="BodyText"/>
      </w:pPr>
      <w:r>
        <w:t xml:space="preserve">Defense-focused research demonstrates how to quantify capability values by combining investment portfolio measures with technological aging metrics, providing a data-driven approach to capability-based planning</w:t>
      </w:r>
      <w:r>
        <w:t xml:space="preserve"> </w:t>
      </w:r>
      <w:hyperlink w:anchor="ref-r2024">
        <w:r>
          <w:rPr>
            <w:rStyle w:val="Hyperlink"/>
          </w:rPr>
          <w:t xml:space="preserve">[7]</w:t>
        </w:r>
      </w:hyperlink>
      <w:r>
        <w:t xml:space="preserve">. This metric links investment projects directly to operational systems and their corresponding mission outcomes</w:t>
      </w:r>
      <w:r>
        <w:t xml:space="preserve"> </w:t>
      </w:r>
      <w:hyperlink w:anchor="ref-r2024">
        <w:r>
          <w:rPr>
            <w:rStyle w:val="Hyperlink"/>
          </w:rPr>
          <w:t xml:space="preserve">[7]</w:t>
        </w:r>
      </w:hyperlink>
      <w:r>
        <w:t xml:space="preserve">.</w:t>
      </w:r>
    </w:p>
    <w:p>
      <w:r>
        <w:pict>
          <v:rect style="width:0;height:1.5pt" o:hralign="center" o:hrstd="t" o:hr="t"/>
        </w:pict>
      </w:r>
    </w:p>
    <w:p>
      <w:pPr>
        <w:pStyle w:val="Heading2"/>
      </w:pPr>
      <w:r>
        <w:t xml:space="preserve">II. Strategic Investment Analysis and Mission Value Assessment</w:t>
      </w:r>
    </w:p>
    <w:p>
      <w:pPr>
        <w:pStyle w:val="Heading3"/>
      </w:pPr>
      <w:r>
        <w:t xml:space="preserve">A. Value-Driven Portfolio Selection</w:t>
      </w:r>
    </w:p>
    <w:p>
      <w:pPr>
        <w:pStyle w:val="FirstParagraph"/>
      </w:pPr>
      <w:r>
        <w:t xml:space="preserve">Strategic investment analysis increasingly emphasizes mission value assessment under resource constraints. A stochastic project portfolio selection framework demonstrates how to maximize expected value through genetic algorithms combined with Monte Carlo simulation, handling schedule interdependencies, budget constraints, and risk registers</w:t>
      </w:r>
      <w:r>
        <w:t xml:space="preserve"> </w:t>
      </w:r>
      <w:hyperlink w:anchor="ref-miguel2025">
        <w:r>
          <w:rPr>
            <w:rStyle w:val="Hyperlink"/>
          </w:rPr>
          <w:t xml:space="preserve">[8]</w:t>
        </w:r>
      </w:hyperlink>
      <w:r>
        <w:t xml:space="preserve">. The framework integrates portfolio reliability constraints, enabling organizations to manage uncertainty while achieving strategic objectives</w:t>
      </w:r>
      <w:r>
        <w:t xml:space="preserve"> </w:t>
      </w:r>
      <w:hyperlink w:anchor="ref-miguel2025">
        <w:r>
          <w:rPr>
            <w:rStyle w:val="Hyperlink"/>
          </w:rPr>
          <w:t xml:space="preserve">[8]</w:t>
        </w:r>
      </w:hyperlink>
      <w:r>
        <w:t xml:space="preserve">.</w:t>
      </w:r>
    </w:p>
    <w:p>
      <w:pPr>
        <w:pStyle w:val="BodyText"/>
      </w:pPr>
      <w:r>
        <w:t xml:space="preserve">Multi-objective optimization models explicitly integrate mission objectives with resource constraints. By formulating bi-objective problems that minimize total cost while maximizing stakeholder interest fulfillment, organizations can balance competing priorities</w:t>
      </w:r>
      <w:r>
        <w:t xml:space="preserve"> </w:t>
      </w:r>
      <w:hyperlink w:anchor="ref-miguel2025">
        <w:r>
          <w:rPr>
            <w:rStyle w:val="Hyperlink"/>
          </w:rPr>
          <w:t xml:space="preserve">[8]</w:t>
        </w:r>
      </w:hyperlink>
      <w:r>
        <w:t xml:space="preserve">. The use of nonlinear programming combined with heuristic algorithms enables decision-makers to explore Pareto-optimal solution sets rather than accepting single solutions</w:t>
      </w:r>
      <w:r>
        <w:t xml:space="preserve"> </w:t>
      </w:r>
      <w:hyperlink w:anchor="ref-mit2025">
        <w:r>
          <w:rPr>
            <w:rStyle w:val="Hyperlink"/>
          </w:rPr>
          <w:t xml:space="preserve">[9]</w:t>
        </w:r>
      </w:hyperlink>
      <w:r>
        <w:t xml:space="preserve">.</w:t>
      </w:r>
    </w:p>
    <w:p>
      <w:pPr>
        <w:pStyle w:val="Heading3"/>
      </w:pPr>
      <w:r>
        <w:t xml:space="preserve">B. Real-World Value Assessment and Health Economics Integration</w:t>
      </w:r>
    </w:p>
    <w:p>
      <w:pPr>
        <w:pStyle w:val="FirstParagraph"/>
      </w:pPr>
      <w:r>
        <w:t xml:space="preserve">Real-World Value Assessment (RWVA) frameworks are increasingly adopted to support healthcare and public sector investment decisions. These approaches combine real-world evidence methodology with health economics to create dynamic value assessment models</w:t>
      </w:r>
      <w:r>
        <w:t xml:space="preserve"> </w:t>
      </w:r>
      <w:hyperlink w:anchor="ref-li2025">
        <w:r>
          <w:rPr>
            <w:rStyle w:val="Hyperlink"/>
          </w:rPr>
          <w:t xml:space="preserve">[10]</w:t>
        </w:r>
      </w:hyperlink>
      <w:r>
        <w:t xml:space="preserve">. The integration of data quality standards, advanced methodologies, and policy frameworks creates closed-loop mechanisms linking evidence generation, value assessment, and payment decisions</w:t>
      </w:r>
      <w:r>
        <w:t xml:space="preserve"> </w:t>
      </w:r>
      <w:hyperlink w:anchor="ref-li2025">
        <w:r>
          <w:rPr>
            <w:rStyle w:val="Hyperlink"/>
          </w:rPr>
          <w:t xml:space="preserve">[10]</w:t>
        </w:r>
      </w:hyperlink>
      <w:r>
        <w:t xml:space="preserve">.</w:t>
      </w:r>
    </w:p>
    <w:p>
      <w:r>
        <w:pict>
          <v:rect style="width:0;height:1.5pt" o:hralign="center" o:hrstd="t" o:hr="t"/>
        </w:pict>
      </w:r>
    </w:p>
    <w:p>
      <w:pPr>
        <w:pStyle w:val="Heading2"/>
      </w:pPr>
      <w:r>
        <w:t xml:space="preserve">III. Earned Value Management: Evolution and Advanced Applications</w:t>
      </w:r>
    </w:p>
    <w:p>
      <w:pPr>
        <w:pStyle w:val="Heading3"/>
      </w:pPr>
      <w:r>
        <w:t xml:space="preserve">A. Core EVM Principles and Performance Measurement</w:t>
      </w:r>
    </w:p>
    <w:p>
      <w:pPr>
        <w:pStyle w:val="FirstParagraph"/>
      </w:pPr>
      <w:r>
        <w:t xml:space="preserve">Earned Value Management remains foundational for integrated project control, enabling the simultaneous tracking of scope, time, and cost through key indicators: Planned Value (PV), Earned Value (EV), Actual Cost (AC), Cost Performance Index (CPI), and Schedule Performance Index (SPI)</w:t>
      </w:r>
      <w:r>
        <w:t xml:space="preserve"> </w:t>
      </w:r>
      <w:hyperlink w:anchor="ref-hitesh2026">
        <w:r>
          <w:rPr>
            <w:rStyle w:val="Hyperlink"/>
          </w:rPr>
          <w:t xml:space="preserve">[4]</w:t>
        </w:r>
      </w:hyperlink>
      <w:r>
        <w:t xml:space="preserve">. EVM applications across construction, infrastructure, and operational projects demonstrate significant improvements in project control effectiveness</w:t>
      </w:r>
      <w:r>
        <w:t xml:space="preserve"> </w:t>
      </w:r>
      <w:hyperlink w:anchor="ref-hitesh2026">
        <w:r>
          <w:rPr>
            <w:rStyle w:val="Hyperlink"/>
          </w:rPr>
          <w:t xml:space="preserve">[4]</w:t>
        </w:r>
      </w:hyperlink>
      <w:r>
        <w:t xml:space="preserve">. Cost variance analysis combined with schedule variance tracking enables early identification of project deviations, supporting timely corrective actions</w:t>
      </w:r>
      <w:r>
        <w:t xml:space="preserve"> </w:t>
      </w:r>
      <w:hyperlink w:anchor="ref-agus2025">
        <w:r>
          <w:rPr>
            <w:rStyle w:val="Hyperlink"/>
          </w:rPr>
          <w:t xml:space="preserve">[11]</w:t>
        </w:r>
      </w:hyperlink>
      <w:r>
        <w:t xml:space="preserve">.</w:t>
      </w:r>
    </w:p>
    <w:p>
      <w:pPr>
        <w:pStyle w:val="BodyText"/>
      </w:pPr>
      <w:r>
        <w:t xml:space="preserve">Comparative analysis of Earned Value techniques—including Earned Duration (ED), Earned Schedule (ES), and Planned Value (PV)—reveals that technique effectiveness varies by project type and progress stage</w:t>
      </w:r>
      <w:r>
        <w:t xml:space="preserve"> </w:t>
      </w:r>
      <w:hyperlink w:anchor="ref-mohamed2025">
        <w:r>
          <w:rPr>
            <w:rStyle w:val="Hyperlink"/>
          </w:rPr>
          <w:t xml:space="preserve">[12]</w:t>
        </w:r>
      </w:hyperlink>
      <w:r>
        <w:t xml:space="preserve">. Earned Schedule provides more accurate predictions during early project stages, while Earned Duration proves more reliable at later stages</w:t>
      </w:r>
      <w:r>
        <w:t xml:space="preserve"> </w:t>
      </w:r>
      <w:hyperlink w:anchor="ref-mohamed2025">
        <w:r>
          <w:rPr>
            <w:rStyle w:val="Hyperlink"/>
          </w:rPr>
          <w:t xml:space="preserve">[12]</w:t>
        </w:r>
      </w:hyperlink>
      <w:r>
        <w:t xml:space="preserve">. This finding underscores the importance of selecting forecasting methods based on project maturity.</w:t>
      </w:r>
    </w:p>
    <w:p>
      <w:pPr>
        <w:pStyle w:val="Heading3"/>
      </w:pPr>
      <w:r>
        <w:t xml:space="preserve">B. Advanced EVM Modeling: Uncertainty and Intelligence Integration</w:t>
      </w:r>
    </w:p>
    <w:p>
      <w:pPr>
        <w:pStyle w:val="FirstParagraph"/>
      </w:pPr>
      <w:r>
        <w:t xml:space="preserve">Grey Earned Duration Management (GEDM) integrates earned value concepts with grey theory, providing upper and lower bound estimates for project completion dates</w:t>
      </w:r>
      <w:r>
        <w:t xml:space="preserve"> </w:t>
      </w:r>
      <w:hyperlink w:anchor="ref-chitti2024">
        <w:r>
          <w:rPr>
            <w:rStyle w:val="Hyperlink"/>
          </w:rPr>
          <w:t xml:space="preserve">[13]</w:t>
        </w:r>
      </w:hyperlink>
      <w:r>
        <w:t xml:space="preserve">. This probabilistic approach addresses the indeterministic nature of project outcomes more effectively than deterministic models</w:t>
      </w:r>
      <w:r>
        <w:t xml:space="preserve"> </w:t>
      </w:r>
      <w:hyperlink w:anchor="ref-chitti2024">
        <w:r>
          <w:rPr>
            <w:rStyle w:val="Hyperlink"/>
          </w:rPr>
          <w:t xml:space="preserve">[13]</w:t>
        </w:r>
      </w:hyperlink>
      <w:r>
        <w:t xml:space="preserve">. Z-number based EVM combines possibility and reliability considerations through fuzzy logic enhancements, significantly improving the accuracy of cost-duration assessments under high uncertainty</w:t>
      </w:r>
      <w:r>
        <w:t xml:space="preserve"> </w:t>
      </w:r>
      <w:hyperlink w:anchor="ref-sepehr2020">
        <w:r>
          <w:rPr>
            <w:rStyle w:val="Hyperlink"/>
          </w:rPr>
          <w:t xml:space="preserve">[14]</w:t>
        </w:r>
      </w:hyperlink>
      <w:r>
        <w:t xml:space="preserve">.</w:t>
      </w:r>
    </w:p>
    <w:p>
      <w:pPr>
        <w:pStyle w:val="BodyText"/>
      </w:pPr>
      <w:r>
        <w:t xml:space="preserve">Agent-based simulation models implementing earned value assessment demonstrate how EVM can be adapted to agile project management environments, providing real-time performance tracking through task board visualization</w:t>
      </w:r>
      <w:r>
        <w:t xml:space="preserve"> </w:t>
      </w:r>
      <w:hyperlink w:anchor="ref-m2023">
        <w:r>
          <w:rPr>
            <w:rStyle w:val="Hyperlink"/>
          </w:rPr>
          <w:t xml:space="preserve">[15]</w:t>
        </w:r>
      </w:hyperlink>
      <w:r>
        <w:t xml:space="preserve">. Sustainable EVM frameworks incorporating environmental sustainability metrics into conventional earned value analysis enable schedule-driven decision-making that explicitly considers resource conservation and environmental impact reduction</w:t>
      </w:r>
      <w:r>
        <w:t xml:space="preserve"> </w:t>
      </w:r>
      <w:hyperlink w:anchor="ref-ps2026">
        <w:r>
          <w:rPr>
            <w:rStyle w:val="Hyperlink"/>
          </w:rPr>
          <w:t xml:space="preserve">[16]</w:t>
        </w:r>
      </w:hyperlink>
      <w:r>
        <w:t xml:space="preserve">.</w:t>
      </w:r>
    </w:p>
    <w:p>
      <w:r>
        <w:pict>
          <v:rect style="width:0;height:1.5pt" o:hralign="center" o:hrstd="t" o:hr="t"/>
        </w:pict>
      </w:r>
    </w:p>
    <w:p>
      <w:pPr>
        <w:pStyle w:val="Heading2"/>
      </w:pPr>
      <w:r>
        <w:t xml:space="preserve">IV. AI-Enhanced Portfolio Optimization: Algorithms and Applications</w:t>
      </w:r>
    </w:p>
    <w:p>
      <w:pPr>
        <w:pStyle w:val="Heading3"/>
      </w:pPr>
      <w:r>
        <w:t xml:space="preserve">A. Reinforcement Learning and Dynamic Portfolio Management</w:t>
      </w:r>
    </w:p>
    <w:p>
      <w:pPr>
        <w:pStyle w:val="FirstParagraph"/>
      </w:pPr>
      <w:r>
        <w:t xml:space="preserve">Reinforcement learning algorithms have revolutionized portfolio optimization by enabling dynamic, adaptive decision-making under market volatility. Deep Deterministic Policy Gradient (DDPG), Proximal Policy Optimization (PPO), and Advantage Actor-Critic (A2C) algorithms successfully optimize asset allocation by learning from market interactions and adjusting portfolio weights in real-time</w:t>
      </w:r>
      <w:r>
        <w:t xml:space="preserve"> </w:t>
      </w:r>
      <w:hyperlink w:anchor="ref-k2024">
        <w:r>
          <w:rPr>
            <w:rStyle w:val="Hyperlink"/>
          </w:rPr>
          <w:t xml:space="preserve">[17]</w:t>
        </w:r>
      </w:hyperlink>
      <w:r>
        <w:t xml:space="preserve">. These algorithms outperform traditional portfolio management methods across diverse asset classes in Yahoo Finance data</w:t>
      </w:r>
      <w:r>
        <w:t xml:space="preserve"> </w:t>
      </w:r>
      <w:hyperlink w:anchor="ref-k2024">
        <w:r>
          <w:rPr>
            <w:rStyle w:val="Hyperlink"/>
          </w:rPr>
          <w:t xml:space="preserve">[17]</w:t>
        </w:r>
      </w:hyperlink>
      <w:r>
        <w:t xml:space="preserve">.</w:t>
      </w:r>
    </w:p>
    <w:p>
      <w:pPr>
        <w:pStyle w:val="BodyText"/>
      </w:pPr>
      <w:r>
        <w:t xml:space="preserve">Deep reinforcement learning approaches applied to stock market trading generate cumulative returns of 85.12% with reduced volatility compared to traditional strategies, demonstrating 25-40% maximum drawdown reduction</w:t>
      </w:r>
      <w:r>
        <w:t xml:space="preserve"> </w:t>
      </w:r>
      <w:hyperlink w:anchor="ref-zhongyuan2025">
        <w:r>
          <w:rPr>
            <w:rStyle w:val="Hyperlink"/>
          </w:rPr>
          <w:t xml:space="preserve">[18]</w:t>
        </w:r>
      </w:hyperlink>
      <w:r>
        <w:t xml:space="preserve">. The dynamic adjustment of cryptocurrency portfolio allocations across multiple digital assets shows strong income acquisition and risk management capabilities</w:t>
      </w:r>
      <w:r>
        <w:t xml:space="preserve"> </w:t>
      </w:r>
      <w:hyperlink w:anchor="ref-zhongyuan2025">
        <w:r>
          <w:rPr>
            <w:rStyle w:val="Hyperlink"/>
          </w:rPr>
          <w:t xml:space="preserve">[18]</w:t>
        </w:r>
      </w:hyperlink>
      <w:r>
        <w:t xml:space="preserve">. Actor-critic algorithms specifically demonstrate superior risk-adjusted performance by balancing upside potential with downside protection through continuous portfolio rebalancing</w:t>
      </w:r>
      <w:r>
        <w:t xml:space="preserve"> </w:t>
      </w:r>
      <w:hyperlink w:anchor="ref-weiyong2024">
        <w:r>
          <w:rPr>
            <w:rStyle w:val="Hyperlink"/>
          </w:rPr>
          <w:t xml:space="preserve">[19]</w:t>
        </w:r>
      </w:hyperlink>
      <w:r>
        <w:t xml:space="preserve">.</w:t>
      </w:r>
    </w:p>
    <w:p>
      <w:pPr>
        <w:pStyle w:val="Heading3"/>
      </w:pPr>
      <w:r>
        <w:t xml:space="preserve">B. Multi-Objective Reinforcement Learning for Resource-Constrained Optimization</w:t>
      </w:r>
    </w:p>
    <w:p>
      <w:pPr>
        <w:pStyle w:val="FirstParagraph"/>
      </w:pPr>
      <w:r>
        <w:t xml:space="preserve">Multi-objective reinforcement learning frameworks address competing objectives of cost minimization, performance optimization, and Service Level Agreement (SLA) compliance simultaneously</w:t>
      </w:r>
      <w:r>
        <w:t xml:space="preserve"> </w:t>
      </w:r>
      <w:hyperlink w:anchor="ref-s2025">
        <w:r>
          <w:rPr>
            <w:rStyle w:val="Hyperlink"/>
          </w:rPr>
          <w:t xml:space="preserve">[20]</w:t>
        </w:r>
      </w:hyperlink>
      <w:r>
        <w:t xml:space="preserve">. SLA-aware multi-objective reinforcement learning achieves 67.2% reduction in training time for deadline-critical jobs and 68.8% reduction in costs for budget-constrained workloads while maintaining 73.4% SLA compliance improvement</w:t>
      </w:r>
      <w:r>
        <w:t xml:space="preserve"> </w:t>
      </w:r>
      <w:hyperlink w:anchor="ref-s2025">
        <w:r>
          <w:rPr>
            <w:rStyle w:val="Hyperlink"/>
          </w:rPr>
          <w:t xml:space="preserve">[20]</w:t>
        </w:r>
      </w:hyperlink>
      <w:r>
        <w:t xml:space="preserve">. The intelligent initialization through historical learning and dynamic weight adaptation mechanisms eliminate cold-start problems, reducing initial exploration overhead by 60%</w:t>
      </w:r>
      <w:r>
        <w:t xml:space="preserve"> </w:t>
      </w:r>
      <w:hyperlink w:anchor="ref-s2025">
        <w:r>
          <w:rPr>
            <w:rStyle w:val="Hyperlink"/>
          </w:rPr>
          <w:t xml:space="preserve">[20]</w:t>
        </w:r>
      </w:hyperlink>
      <w:r>
        <w:t xml:space="preserve">.</w:t>
      </w:r>
    </w:p>
    <w:p>
      <w:r>
        <w:pict>
          <v:rect style="width:0;height:1.5pt" o:hralign="center" o:hrstd="t" o:hr="t"/>
        </w:pict>
      </w:r>
    </w:p>
    <w:p>
      <w:pPr>
        <w:pStyle w:val="Heading2"/>
      </w:pPr>
      <w:r>
        <w:t xml:space="preserve">V. AI-Driven Decision Support Systems for Strategic Planning</w:t>
      </w:r>
    </w:p>
    <w:p>
      <w:pPr>
        <w:pStyle w:val="Heading3"/>
      </w:pPr>
      <w:r>
        <w:t xml:space="preserve">A. Explainable AI and Governance Intelligence</w:t>
      </w:r>
    </w:p>
    <w:p>
      <w:pPr>
        <w:pStyle w:val="FirstParagraph"/>
      </w:pPr>
      <w:r>
        <w:t xml:space="preserve">Strategic Governance Intelligence systems integrate semantic similarity detection using sentence embedding models to identify redundant project proposals and overlapping initiatives</w:t>
      </w:r>
      <w:r>
        <w:t xml:space="preserve"> </w:t>
      </w:r>
      <w:hyperlink w:anchor="ref-s2026">
        <w:r>
          <w:rPr>
            <w:rStyle w:val="Hyperlink"/>
          </w:rPr>
          <w:t xml:space="preserve">[21]</w:t>
        </w:r>
      </w:hyperlink>
      <w:r>
        <w:t xml:space="preserve">. Large language model-based strategic reasoning generates explainable governance insights, while probabilistic risk modeling through Monte Carlo simulation quantifies uncertainty and estimates project success likelihood</w:t>
      </w:r>
      <w:r>
        <w:t xml:space="preserve"> </w:t>
      </w:r>
      <w:hyperlink w:anchor="ref-s2026">
        <w:r>
          <w:rPr>
            <w:rStyle w:val="Hyperlink"/>
          </w:rPr>
          <w:t xml:space="preserve">[21]</w:t>
        </w:r>
      </w:hyperlink>
      <w:r>
        <w:t xml:space="preserve">. Interactive web-based implementations enable real-time governance workflows with multi-dimensional risk visualization through radar charts and ISO 31000-compliant risk matrices</w:t>
      </w:r>
      <w:r>
        <w:t xml:space="preserve"> </w:t>
      </w:r>
      <w:hyperlink w:anchor="ref-s2026">
        <w:r>
          <w:rPr>
            <w:rStyle w:val="Hyperlink"/>
          </w:rPr>
          <w:t xml:space="preserve">[21]</w:t>
        </w:r>
      </w:hyperlink>
      <w:r>
        <w:t xml:space="preserve">.</w:t>
      </w:r>
    </w:p>
    <w:p>
      <w:pPr>
        <w:pStyle w:val="Heading3"/>
      </w:pPr>
      <w:r>
        <w:t xml:space="preserve">B. Human-AI Collaboration in Strategic Decision-Making</w:t>
      </w:r>
    </w:p>
    <w:p>
      <w:pPr>
        <w:pStyle w:val="FirstParagraph"/>
      </w:pPr>
      <w:r>
        <w:t xml:space="preserve">Systematic reviews demonstrate that intelligent support systems achieve superior decision outcomes when designed as augmentative rather than replacement technology</w:t>
      </w:r>
      <w:r>
        <w:t xml:space="preserve"> </w:t>
      </w:r>
      <w:hyperlink w:anchor="ref-md2025">
        <w:r>
          <w:rPr>
            <w:rStyle w:val="Hyperlink"/>
          </w:rPr>
          <w:t xml:space="preserve">[22]</w:t>
        </w:r>
      </w:hyperlink>
      <w:r>
        <w:t xml:space="preserve">. The optimal architecture combines human expertise, institutional controls, and algorithmic outputs through hybrid models where AI systems handle data-intensive analysis while human experts focus on judgment, ethics, and strategic foresight</w:t>
      </w:r>
      <w:r>
        <w:t xml:space="preserve"> </w:t>
      </w:r>
      <w:hyperlink w:anchor="ref-saima2025">
        <w:r>
          <w:rPr>
            <w:rStyle w:val="Hyperlink"/>
          </w:rPr>
          <w:t xml:space="preserve">[23]</w:t>
        </w:r>
      </w:hyperlink>
      <w:r>
        <w:t xml:space="preserve">. This human-AI complementarity proves particularly important in handling tacit knowledge, ethical considerations, and contextual judgment</w:t>
      </w:r>
      <w:r>
        <w:t xml:space="preserve"> </w:t>
      </w:r>
      <w:hyperlink w:anchor="ref-saima2025">
        <w:r>
          <w:rPr>
            <w:rStyle w:val="Hyperlink"/>
          </w:rPr>
          <w:t xml:space="preserve">[23]</w:t>
        </w:r>
      </w:hyperlink>
      <w:r>
        <w:t xml:space="preserve">.</w:t>
      </w:r>
    </w:p>
    <w:p>
      <w:pPr>
        <w:pStyle w:val="BodyText"/>
      </w:pPr>
      <w:r>
        <w:t xml:space="preserve">AI-orchestrated hybrid optimization frameworks incorporating neuro-fuzzy executive strategy models, quantum-inspired multi-objective evolutionary planning, and moral-normative policy alignment achieve 90.2% decision accuracy and 95.6% ethical compliance rates</w:t>
      </w:r>
      <w:r>
        <w:t xml:space="preserve"> </w:t>
      </w:r>
      <w:hyperlink w:anchor="ref-d2026">
        <w:r>
          <w:rPr>
            <w:rStyle w:val="Hyperlink"/>
          </w:rPr>
          <w:t xml:space="preserve">[24]</w:t>
        </w:r>
      </w:hyperlink>
      <w:r>
        <w:t xml:space="preserve">. Graph-attentive influence modeling combined with counterfactual simulation using generative adversarial networks enables policy impact prediction and scenario analysis</w:t>
      </w:r>
      <w:r>
        <w:t xml:space="preserve"> </w:t>
      </w:r>
      <w:hyperlink w:anchor="ref-d2026">
        <w:r>
          <w:rPr>
            <w:rStyle w:val="Hyperlink"/>
          </w:rPr>
          <w:t xml:space="preserve">[24]</w:t>
        </w:r>
      </w:hyperlink>
      <w:r>
        <w:t xml:space="preserve">.</w:t>
      </w:r>
    </w:p>
    <w:p>
      <w:r>
        <w:pict>
          <v:rect style="width:0;height:1.5pt" o:hralign="center" o:hrstd="t" o:hr="t"/>
        </w:pict>
      </w:r>
    </w:p>
    <w:p>
      <w:pPr>
        <w:pStyle w:val="Heading2"/>
      </w:pPr>
      <w:r>
        <w:t xml:space="preserve">VI. Optimization Algorithms and Computational Methods</w:t>
      </w:r>
    </w:p>
    <w:p>
      <w:pPr>
        <w:pStyle w:val="Heading3"/>
      </w:pPr>
      <w:r>
        <w:t xml:space="preserve">A. Genetic Algorithms and Hybrid Approaches</w:t>
      </w:r>
    </w:p>
    <w:p>
      <w:pPr>
        <w:pStyle w:val="FirstParagraph"/>
      </w:pPr>
      <w:r>
        <w:t xml:space="preserve">Robust portfolio mean-variance optimization utilizing genetic algorithms effectively handles market uncertainties by managing fluctuating asset returns and covariances</w:t>
      </w:r>
      <w:r>
        <w:t xml:space="preserve"> </w:t>
      </w:r>
      <w:hyperlink w:anchor="ref-d2024">
        <w:r>
          <w:rPr>
            <w:rStyle w:val="Hyperlink"/>
          </w:rPr>
          <w:t xml:space="preserve">[1]</w:t>
        </w:r>
      </w:hyperlink>
      <w:r>
        <w:t xml:space="preserve">. Empirical validation using historical data from diverse global capital markets (Hang Seng, DAX, FTSE, S&amp;P 100, Nikkei 225) demonstrates that genetic algorithm-optimized portfolios are more stable and provide higher returns compared with traditional mean-variance models</w:t>
      </w:r>
      <w:r>
        <w:t xml:space="preserve"> </w:t>
      </w:r>
      <w:hyperlink w:anchor="ref-d2024">
        <w:r>
          <w:rPr>
            <w:rStyle w:val="Hyperlink"/>
          </w:rPr>
          <w:t xml:space="preserve">[1]</w:t>
        </w:r>
      </w:hyperlink>
      <w:r>
        <w:t xml:space="preserve">. The integration of cardinality constraints, relative and absolute robustness parameters, and dynamic portfolio parameters enables genetic algorithms to solve complex portfolio problems efficiently</w:t>
      </w:r>
      <w:r>
        <w:t xml:space="preserve"> </w:t>
      </w:r>
      <w:hyperlink w:anchor="ref-d2024">
        <w:r>
          <w:rPr>
            <w:rStyle w:val="Hyperlink"/>
          </w:rPr>
          <w:t xml:space="preserve">[1]</w:t>
        </w:r>
      </w:hyperlink>
      <w:r>
        <w:t xml:space="preserve">.</w:t>
      </w:r>
    </w:p>
    <w:p>
      <w:pPr>
        <w:pStyle w:val="BodyText"/>
      </w:pPr>
      <w:r>
        <w:t xml:space="preserve">Multi-objective genetic algorithms (NSGA-II) combined with constraint programming optimize workforce resource allocation under capacity and welfare constraints, reducing labor costs by 13.2% while improving employee satisfaction</w:t>
      </w:r>
      <w:r>
        <w:t xml:space="preserve"> </w:t>
      </w:r>
      <w:hyperlink w:anchor="ref-xiangjun2026">
        <w:r>
          <w:rPr>
            <w:rStyle w:val="Hyperlink"/>
          </w:rPr>
          <w:t xml:space="preserve">[25]</w:t>
        </w:r>
      </w:hyperlink>
      <w:r>
        <w:t xml:space="preserve">. The Pareto optimization approach enables decision-makers to evaluate trade-offs among competing objectives—cost efficiency, service levels, and technology adoption—systematically</w:t>
      </w:r>
      <w:r>
        <w:t xml:space="preserve"> </w:t>
      </w:r>
      <w:hyperlink w:anchor="ref-xiangjun2026">
        <w:r>
          <w:rPr>
            <w:rStyle w:val="Hyperlink"/>
          </w:rPr>
          <w:t xml:space="preserve">[25]</w:t>
        </w:r>
      </w:hyperlink>
      <w:r>
        <w:t xml:space="preserve">.</w:t>
      </w:r>
    </w:p>
    <w:p>
      <w:pPr>
        <w:pStyle w:val="Heading3"/>
      </w:pPr>
      <w:r>
        <w:t xml:space="preserve">B. Advanced Metaheuristic and Hybrid Algorithms</w:t>
      </w:r>
    </w:p>
    <w:p>
      <w:pPr>
        <w:pStyle w:val="FirstParagraph"/>
      </w:pPr>
      <w:r>
        <w:t xml:space="preserve">Enhanced Egret Swarm Optimization combined with beetle antennae search strategies addresses mean-variance portfolio selection with transaction costs and cardinality constraints, achieving superior Sharpe ratios compared to other algorithms</w:t>
      </w:r>
      <w:r>
        <w:t xml:space="preserve"> </w:t>
      </w:r>
      <w:hyperlink w:anchor="ref-zhendai2024">
        <w:r>
          <w:rPr>
            <w:rStyle w:val="Hyperlink"/>
          </w:rPr>
          <w:t xml:space="preserve">[26]</w:t>
        </w:r>
      </w:hyperlink>
      <w:r>
        <w:t xml:space="preserve">. Particle Swarm Optimization (PSO) with integrated simulated annealing achieves superior convergence for multi-objective resource allocation problems</w:t>
      </w:r>
      <w:r>
        <w:t xml:space="preserve"> </w:t>
      </w:r>
      <w:hyperlink w:anchor="ref-xiu2025">
        <w:r>
          <w:rPr>
            <w:rStyle w:val="Hyperlink"/>
          </w:rPr>
          <w:t xml:space="preserve">[27]</w:t>
        </w:r>
      </w:hyperlink>
      <w:r>
        <w:t xml:space="preserve">. The hybrid Snow Leopard and Dark Forest Algorithm (HSL-DFA) outperforms individual algorithms in multi-objective network optimization, achieving throughput of 93 Mbps at the 200th network node</w:t>
      </w:r>
      <w:r>
        <w:t xml:space="preserve"> </w:t>
      </w:r>
      <w:hyperlink w:anchor="ref-ronghua2025">
        <w:r>
          <w:rPr>
            <w:rStyle w:val="Hyperlink"/>
          </w:rPr>
          <w:t xml:space="preserve">[28]</w:t>
        </w:r>
      </w:hyperlink>
      <w:r>
        <w:t xml:space="preserve">.</w:t>
      </w:r>
    </w:p>
    <w:p>
      <w:pPr>
        <w:pStyle w:val="BodyText"/>
      </w:pPr>
      <w:r>
        <w:t xml:space="preserve">Quantum-inspired algorithms combined with machine learning show emerging potential for portfolio optimization. Quantum Support Vector Machine (QSVM) implementations achieve portfolio performance of 89.65% over time, significantly surpassing conventional quantum algorithms including Quantum Principal Component Analysis, Quantum Boltzmann Machines, and Quantum K-Means Clustering by 25.15%</w:t>
      </w:r>
      <w:r>
        <w:t xml:space="preserve"> </w:t>
      </w:r>
      <w:hyperlink w:anchor="ref-n2024">
        <w:r>
          <w:rPr>
            <w:rStyle w:val="Hyperlink"/>
          </w:rPr>
          <w:t xml:space="preserve">[29]</w:t>
        </w:r>
      </w:hyperlink>
      <w:r>
        <w:t xml:space="preserve">.</w:t>
      </w:r>
    </w:p>
    <w:p>
      <w:r>
        <w:pict>
          <v:rect style="width:0;height:1.5pt" o:hralign="center" o:hrstd="t" o:hr="t"/>
        </w:pict>
      </w:r>
    </w:p>
    <w:p>
      <w:pPr>
        <w:pStyle w:val="Heading2"/>
      </w:pPr>
      <w:r>
        <w:t xml:space="preserve">VII. AI Systems for Redundancy Detection and Portfolio Optimization</w:t>
      </w:r>
    </w:p>
    <w:p>
      <w:pPr>
        <w:pStyle w:val="Heading3"/>
      </w:pPr>
      <w:r>
        <w:t xml:space="preserve">A. Semantic Similarity and Pattern Recognition</w:t>
      </w:r>
    </w:p>
    <w:p>
      <w:pPr>
        <w:pStyle w:val="FirstParagraph"/>
      </w:pPr>
      <w:r>
        <w:t xml:space="preserve">AI systems detect redundancies and overlapping initiatives through natural language processing and semantic similarity detection. Sentence embedding models identify project proposals with functional or strategic overlap, enabling portfolio rationalization</w:t>
      </w:r>
      <w:r>
        <w:t xml:space="preserve"> </w:t>
      </w:r>
      <w:hyperlink w:anchor="ref-s2026">
        <w:r>
          <w:rPr>
            <w:rStyle w:val="Hyperlink"/>
          </w:rPr>
          <w:t xml:space="preserve">[21]</w:t>
        </w:r>
      </w:hyperlink>
      <w:r>
        <w:t xml:space="preserve">. Large language models extract strategic reasoning from unstructured project documentation, providing explainable insights into portfolio composition and identifying consolidation opportunities</w:t>
      </w:r>
      <w:r>
        <w:t xml:space="preserve"> </w:t>
      </w:r>
      <w:hyperlink w:anchor="ref-s2026">
        <w:r>
          <w:rPr>
            <w:rStyle w:val="Hyperlink"/>
          </w:rPr>
          <w:t xml:space="preserve">[21]</w:t>
        </w:r>
      </w:hyperlink>
      <w:r>
        <w:t xml:space="preserve">.</w:t>
      </w:r>
    </w:p>
    <w:p>
      <w:pPr>
        <w:pStyle w:val="Heading3"/>
      </w:pPr>
      <w:r>
        <w:t xml:space="preserve">B. Continuous Portfolio Evaluation and Rebalancing</w:t>
      </w:r>
    </w:p>
    <w:p>
      <w:pPr>
        <w:pStyle w:val="FirstParagraph"/>
      </w:pPr>
      <w:r>
        <w:t xml:space="preserve">AI systems enable continuous portfolio evaluation by processing real-time market data, operational performance metrics, and strategic alignment indicators. Predictive analytics modules forecast portfolio performance under various scenarios, supporting dynamic rebalancing decisions</w:t>
      </w:r>
      <w:r>
        <w:t xml:space="preserve"> </w:t>
      </w:r>
      <w:hyperlink w:anchor="ref-dr2024">
        <w:r>
          <w:rPr>
            <w:rStyle w:val="Hyperlink"/>
          </w:rPr>
          <w:t xml:space="preserve">[30]</w:t>
        </w:r>
      </w:hyperlink>
      <w:r>
        <w:t xml:space="preserve">. Machine learning models analyze vast datasets to identify emerging risks, opportunities, and market shifts, enabling portfolio managers to adjust allocations preemptively rather than reactively</w:t>
      </w:r>
      <w:r>
        <w:t xml:space="preserve"> </w:t>
      </w:r>
      <w:hyperlink w:anchor="ref-dr2024">
        <w:r>
          <w:rPr>
            <w:rStyle w:val="Hyperlink"/>
          </w:rPr>
          <w:t xml:space="preserve">[30]</w:t>
        </w:r>
      </w:hyperlink>
      <w:r>
        <w:t xml:space="preserve">.</w:t>
      </w:r>
    </w:p>
    <w:p>
      <w:pPr>
        <w:pStyle w:val="BodyText"/>
      </w:pPr>
      <w:r>
        <w:t xml:space="preserve">The integration of natural language processing into portfolio evaluation systems enables analysis of news feeds, social media sentiment, regulatory announcements, and stakeholder communications</w:t>
      </w:r>
      <w:r>
        <w:t xml:space="preserve"> </w:t>
      </w:r>
      <w:hyperlink w:anchor="ref-dr2024a">
        <w:r>
          <w:rPr>
            <w:rStyle w:val="Hyperlink"/>
          </w:rPr>
          <w:t xml:space="preserve">[31]</w:t>
        </w:r>
      </w:hyperlink>
      <w:r>
        <w:t xml:space="preserve">. This multi-modal data fusion provides comprehensive market context for investment decisions and portfolio adjustments</w:t>
      </w:r>
      <w:r>
        <w:t xml:space="preserve"> </w:t>
      </w:r>
      <w:hyperlink w:anchor="ref-dr2024a">
        <w:r>
          <w:rPr>
            <w:rStyle w:val="Hyperlink"/>
          </w:rPr>
          <w:t xml:space="preserve">[31]</w:t>
        </w:r>
      </w:hyperlink>
      <w:r>
        <w:t xml:space="preserve">.</w:t>
      </w:r>
    </w:p>
    <w:p>
      <w:r>
        <w:pict>
          <v:rect style="width:0;height:1.5pt" o:hralign="center" o:hrstd="t" o:hr="t"/>
        </w:pict>
      </w:r>
    </w:p>
    <w:p>
      <w:pPr>
        <w:pStyle w:val="Heading2"/>
      </w:pPr>
      <w:r>
        <w:t xml:space="preserve">VIII. AI-Driven Resource Allocation and Optimization Under Constraints</w:t>
      </w:r>
    </w:p>
    <w:p>
      <w:pPr>
        <w:pStyle w:val="Heading3"/>
      </w:pPr>
      <w:r>
        <w:t xml:space="preserve">A. Multi-Dimensional Constraint Optimization</w:t>
      </w:r>
    </w:p>
    <w:p>
      <w:pPr>
        <w:pStyle w:val="FirstParagraph"/>
      </w:pPr>
      <w:r>
        <w:t xml:space="preserve">Advanced frameworks address complex resource allocation problems incorporating multiple objectives, dynamic constraints, and operational limitations. Task-aware video transmission resource allocation in Internet of Vehicles systems prioritizes critical mission services under limited bandwidth while maximizing quality of experience</w:t>
      </w:r>
      <w:r>
        <w:t xml:space="preserve"> </w:t>
      </w:r>
      <w:hyperlink w:anchor="ref-huahong2026">
        <w:r>
          <w:rPr>
            <w:rStyle w:val="Hyperlink"/>
          </w:rPr>
          <w:t xml:space="preserve">[32]</w:t>
        </w:r>
      </w:hyperlink>
      <w:r>
        <w:t xml:space="preserve">. The dynamic three-stage collaborative optimization framework performs vehicle grouping based on multidimensional features (task type, priority, location, channel state), enabling resource prioritization aligned with mission urgency</w:t>
      </w:r>
      <w:r>
        <w:t xml:space="preserve"> </w:t>
      </w:r>
      <w:hyperlink w:anchor="ref-huahong2026">
        <w:r>
          <w:rPr>
            <w:rStyle w:val="Hyperlink"/>
          </w:rPr>
          <w:t xml:space="preserve">[32]</w:t>
        </w:r>
      </w:hyperlink>
      <w:r>
        <w:t xml:space="preserve">.</w:t>
      </w:r>
    </w:p>
    <w:p>
      <w:pPr>
        <w:pStyle w:val="BodyText"/>
      </w:pPr>
      <w:r>
        <w:t xml:space="preserve">Multi-hazard probabilistic risk assessment combined with multi-objective optimization determines optimal retrofitting strategies in hurricane-vulnerable communities, balancing cost-effectiveness and risk reduction while promoting equitable resource allocation</w:t>
      </w:r>
      <w:r>
        <w:t xml:space="preserve"> </w:t>
      </w:r>
      <w:hyperlink w:anchor="ref-abdullah2025">
        <w:r>
          <w:rPr>
            <w:rStyle w:val="Hyperlink"/>
          </w:rPr>
          <w:t xml:space="preserve">[33]</w:t>
        </w:r>
      </w:hyperlink>
      <w:r>
        <w:t xml:space="preserve">. The methodology directly integrates equity as an optimization objective, demonstrating that more equitable solutions can be achieved without compromising cost-effectiveness beyond certain thresholds</w:t>
      </w:r>
      <w:r>
        <w:t xml:space="preserve"> </w:t>
      </w:r>
      <w:hyperlink w:anchor="ref-abdullah2025">
        <w:r>
          <w:rPr>
            <w:rStyle w:val="Hyperlink"/>
          </w:rPr>
          <w:t xml:space="preserve">[33]</w:t>
        </w:r>
      </w:hyperlink>
      <w:r>
        <w:t xml:space="preserve">.</w:t>
      </w:r>
    </w:p>
    <w:p>
      <w:pPr>
        <w:pStyle w:val="Heading3"/>
      </w:pPr>
      <w:r>
        <w:t xml:space="preserve">B. Adaptive Learning and Real-Time Optimization</w:t>
      </w:r>
    </w:p>
    <w:p>
      <w:pPr>
        <w:pStyle w:val="FirstParagraph"/>
      </w:pPr>
      <w:r>
        <w:t xml:space="preserve">Attention-augmented multi-agent reinforcement learning frameworks enhance dynamic resource allocation for multi-domain joint operations</w:t>
      </w:r>
      <w:r>
        <w:t xml:space="preserve"> </w:t>
      </w:r>
      <w:hyperlink w:anchor="ref-qitong2025">
        <w:r>
          <w:rPr>
            <w:rStyle w:val="Hyperlink"/>
          </w:rPr>
          <w:t xml:space="preserve">[34]</w:t>
        </w:r>
      </w:hyperlink>
      <w:r>
        <w:t xml:space="preserve">. The Decaying Attention Guidance mechanism improves exploration efficiency, achieving 34% faster convergence than standard algorithms and 51.5% ± 1.7% improvement in cost-effectiveness ratio compared to rule-based baselines</w:t>
      </w:r>
      <w:r>
        <w:t xml:space="preserve"> </w:t>
      </w:r>
      <w:hyperlink w:anchor="ref-qitong2025">
        <w:r>
          <w:rPr>
            <w:rStyle w:val="Hyperlink"/>
          </w:rPr>
          <w:t xml:space="preserve">[34]</w:t>
        </w:r>
      </w:hyperlink>
      <w:r>
        <w:t xml:space="preserve">. The framework maintains 94.9% ± 0.6% critical target elimination rate while achieving real-time capability (&lt;0.3s) with 95.2% resource utilization</w:t>
      </w:r>
      <w:r>
        <w:t xml:space="preserve"> </w:t>
      </w:r>
      <w:hyperlink w:anchor="ref-qitong2025">
        <w:r>
          <w:rPr>
            <w:rStyle w:val="Hyperlink"/>
          </w:rPr>
          <w:t xml:space="preserve">[34]</w:t>
        </w:r>
      </w:hyperlink>
      <w:r>
        <w:t xml:space="preserve">.</w:t>
      </w:r>
    </w:p>
    <w:p>
      <w:pPr>
        <w:pStyle w:val="BodyText"/>
      </w:pPr>
      <w:r>
        <w:t xml:space="preserve">Spatio-temporal resource allocation frameworks using integer linear programming combined with hybrid variable neighborhood search and simulated annealing achieve near-optimal solutions for task-oriented wireless networks</w:t>
      </w:r>
      <w:r>
        <w:t xml:space="preserve"> </w:t>
      </w:r>
      <w:hyperlink w:anchor="ref-zheng2025">
        <w:r>
          <w:rPr>
            <w:rStyle w:val="Hyperlink"/>
          </w:rPr>
          <w:t xml:space="preserve">[35]</w:t>
        </w:r>
      </w:hyperlink>
      <w:r>
        <w:t xml:space="preserve">. The two-step search algorithm effectively balances global and local optimization, significantly outperforming greedy baseline algorithms</w:t>
      </w:r>
      <w:r>
        <w:t xml:space="preserve"> </w:t>
      </w:r>
      <w:hyperlink w:anchor="ref-zheng2025">
        <w:r>
          <w:rPr>
            <w:rStyle w:val="Hyperlink"/>
          </w:rPr>
          <w:t xml:space="preserve">[35]</w:t>
        </w:r>
      </w:hyperlink>
      <w:r>
        <w:t xml:space="preserve">.</w:t>
      </w:r>
    </w:p>
    <w:p>
      <w:r>
        <w:pict>
          <v:rect style="width:0;height:1.5pt" o:hralign="center" o:hrstd="t" o:hr="t"/>
        </w:pict>
      </w:r>
    </w:p>
    <w:p>
      <w:pPr>
        <w:pStyle w:val="Heading2"/>
      </w:pPr>
      <w:r>
        <w:t xml:space="preserve">IX. AI Applications Across Sectors: Mission-Critical Domains</w:t>
      </w:r>
    </w:p>
    <w:p>
      <w:pPr>
        <w:pStyle w:val="Heading3"/>
      </w:pPr>
      <w:r>
        <w:t xml:space="preserve">A. Defense and Space Systems Portfolio Management</w:t>
      </w:r>
    </w:p>
    <w:p>
      <w:pPr>
        <w:pStyle w:val="FirstParagraph"/>
      </w:pPr>
      <w:r>
        <w:t xml:space="preserve">Mixed-integer programming formulations for space systems development and acquisition modeling enable mission architecture optimization across stakeholders, missions, and capabilities</w:t>
      </w:r>
      <w:r>
        <w:t xml:space="preserve"> </w:t>
      </w:r>
      <w:hyperlink w:anchor="ref-stephanie2022">
        <w:r>
          <w:rPr>
            <w:rStyle w:val="Hyperlink"/>
          </w:rPr>
          <w:t xml:space="preserve">[36]</w:t>
        </w:r>
      </w:hyperlink>
      <w:r>
        <w:t xml:space="preserve">. The multi-period precedence-constrained knapsack problem maximizes stakeholder interest fulfillment subject to periodic budgetary constraints while managing capability development sequencing</w:t>
      </w:r>
      <w:r>
        <w:t xml:space="preserve"> </w:t>
      </w:r>
      <w:hyperlink w:anchor="ref-stephanie2022">
        <w:r>
          <w:rPr>
            <w:rStyle w:val="Hyperlink"/>
          </w:rPr>
          <w:t xml:space="preserve">[36]</w:t>
        </w:r>
      </w:hyperlink>
      <w:r>
        <w:t xml:space="preserve">. Results demonstrate speed and generality for portfolio analysis across multiple campaign scenarios</w:t>
      </w:r>
      <w:r>
        <w:t xml:space="preserve"> </w:t>
      </w:r>
      <w:hyperlink w:anchor="ref-stephanie2022">
        <w:r>
          <w:rPr>
            <w:rStyle w:val="Hyperlink"/>
          </w:rPr>
          <w:t xml:space="preserve">[36]</w:t>
        </w:r>
      </w:hyperlink>
      <w:r>
        <w:t xml:space="preserve">.</w:t>
      </w:r>
    </w:p>
    <w:p>
      <w:pPr>
        <w:pStyle w:val="BodyText"/>
      </w:pPr>
      <w:r>
        <w:t xml:space="preserve">Ammunition resource support task allocation optimization using improved particle swarm algorithms achieves significant improvements in operational efficiency and feasibility compared to deterministic methodologies</w:t>
      </w:r>
      <w:r>
        <w:t xml:space="preserve"> </w:t>
      </w:r>
      <w:hyperlink w:anchor="ref-rui2025">
        <w:r>
          <w:rPr>
            <w:rStyle w:val="Hyperlink"/>
          </w:rPr>
          <w:t xml:space="preserve">[37]</w:t>
        </w:r>
      </w:hyperlink>
      <w:r>
        <w:t xml:space="preserve">. The integration of mission objectives, operational constraints, and efficacy evaluation indexes enables systematic prioritization of resource support tasks</w:t>
      </w:r>
      <w:r>
        <w:t xml:space="preserve"> </w:t>
      </w:r>
      <w:hyperlink w:anchor="ref-rui2025">
        <w:r>
          <w:rPr>
            <w:rStyle w:val="Hyperlink"/>
          </w:rPr>
          <w:t xml:space="preserve">[37]</w:t>
        </w:r>
      </w:hyperlink>
      <w:r>
        <w:t xml:space="preserve">.</w:t>
      </w:r>
    </w:p>
    <w:p>
      <w:pPr>
        <w:pStyle w:val="Heading3"/>
      </w:pPr>
      <w:r>
        <w:t xml:space="preserve">B. Healthcare and Public Sector Resource Management</w:t>
      </w:r>
    </w:p>
    <w:p>
      <w:pPr>
        <w:pStyle w:val="FirstParagraph"/>
      </w:pPr>
      <w:r>
        <w:t xml:space="preserve">Economic and Clinical Intelligence frameworks integrate clinical data, claims, and operational signals to optimize healthcare financing and resource allocation</w:t>
      </w:r>
      <w:r>
        <w:t xml:space="preserve"> </w:t>
      </w:r>
      <w:hyperlink w:anchor="ref-olivia2025">
        <w:r>
          <w:rPr>
            <w:rStyle w:val="Hyperlink"/>
          </w:rPr>
          <w:t xml:space="preserve">[38]</w:t>
        </w:r>
      </w:hyperlink>
      <w:r>
        <w:t xml:space="preserve">. By separating prediction from intervention value through constrained optimization, these systems reduce algorithmic bias and improve resource allocation equity</w:t>
      </w:r>
      <w:r>
        <w:t xml:space="preserve"> </w:t>
      </w:r>
      <w:hyperlink w:anchor="ref-olivia2025">
        <w:r>
          <w:rPr>
            <w:rStyle w:val="Hyperlink"/>
          </w:rPr>
          <w:t xml:space="preserve">[38]</w:t>
        </w:r>
      </w:hyperlink>
      <w:r>
        <w:t xml:space="preserve">. The approach supports payment design, care management targeting, workforce planning, and supply chain optimization</w:t>
      </w:r>
      <w:r>
        <w:t xml:space="preserve"> </w:t>
      </w:r>
      <w:hyperlink w:anchor="ref-olivia2025">
        <w:r>
          <w:rPr>
            <w:rStyle w:val="Hyperlink"/>
          </w:rPr>
          <w:t xml:space="preserve">[38]</w:t>
        </w:r>
      </w:hyperlink>
      <w:r>
        <w:t xml:space="preserve">.</w:t>
      </w:r>
    </w:p>
    <w:p>
      <w:pPr>
        <w:pStyle w:val="BodyText"/>
      </w:pPr>
      <w:r>
        <w:t xml:space="preserve">Resilient AI Performance Optimization Frameworks advance healthcare resilience through AI-driven performance management systems that detect organizational dysfunctions proactively</w:t>
      </w:r>
      <w:r>
        <w:t xml:space="preserve"> </w:t>
      </w:r>
      <w:hyperlink w:anchor="ref-giuliana2025">
        <w:r>
          <w:rPr>
            <w:rStyle w:val="Hyperlink"/>
          </w:rPr>
          <w:t xml:space="preserve">[39]</w:t>
        </w:r>
      </w:hyperlink>
      <w:r>
        <w:t xml:space="preserve">. AI-enhanced smart KPIs—descriptive, predictive, and prescriptive—align strategic planning with real-time operational data and resilience indicators, enabling anticipatory decision-making and proactive resource allocation</w:t>
      </w:r>
      <w:r>
        <w:t xml:space="preserve"> </w:t>
      </w:r>
      <w:hyperlink w:anchor="ref-giuliana2025">
        <w:r>
          <w:rPr>
            <w:rStyle w:val="Hyperlink"/>
          </w:rPr>
          <w:t xml:space="preserve">[39]</w:t>
        </w:r>
      </w:hyperlink>
      <w:r>
        <w:t xml:space="preserve">.</w:t>
      </w:r>
    </w:p>
    <w:p>
      <w:pPr>
        <w:pStyle w:val="Heading3"/>
      </w:pPr>
      <w:r>
        <w:t xml:space="preserve">C. Infrastructure and Emergency Management</w:t>
      </w:r>
    </w:p>
    <w:p>
      <w:pPr>
        <w:pStyle w:val="FirstParagraph"/>
      </w:pPr>
      <w:r>
        <w:t xml:space="preserve">AI-driven optimization for sustainable infrastructure integrating machine learning with ESG metrics enables resilient systems design</w:t>
      </w:r>
      <w:r>
        <w:t xml:space="preserve"> </w:t>
      </w:r>
      <w:hyperlink w:anchor="ref-s2025a">
        <w:r>
          <w:rPr>
            <w:rStyle w:val="Hyperlink"/>
          </w:rPr>
          <w:t xml:space="preserve">[40]</w:t>
        </w:r>
      </w:hyperlink>
      <w:r>
        <w:t xml:space="preserve">. Approaches combining supervised learning, reinforcement learning, Bayesian inference, and multi-objective optimization address emissions forecasting, uncertainty quantification, and trade-off analysis</w:t>
      </w:r>
      <w:r>
        <w:t xml:space="preserve"> </w:t>
      </w:r>
      <w:hyperlink w:anchor="ref-s2025a">
        <w:r>
          <w:rPr>
            <w:rStyle w:val="Hyperlink"/>
          </w:rPr>
          <w:t xml:space="preserve">[40]</w:t>
        </w:r>
      </w:hyperlink>
      <w:r>
        <w:t xml:space="preserve">. The integration of life-cycle assessment principles with AI methods advances decarbonization while maintaining structural resilience</w:t>
      </w:r>
      <w:r>
        <w:t xml:space="preserve"> </w:t>
      </w:r>
      <w:hyperlink w:anchor="ref-s2025a">
        <w:r>
          <w:rPr>
            <w:rStyle w:val="Hyperlink"/>
          </w:rPr>
          <w:t xml:space="preserve">[40]</w:t>
        </w:r>
      </w:hyperlink>
      <w:r>
        <w:t xml:space="preserve">.</w:t>
      </w:r>
    </w:p>
    <w:p>
      <w:pPr>
        <w:pStyle w:val="BodyText"/>
      </w:pPr>
      <w:r>
        <w:t xml:space="preserve">Integrated AI-based decision support systems for emergency supply chain management during natural disasters combine machine learning, predictive analytics, and real-time optimization to minimize supply-demand imbalances and ensure equitable resource distribution</w:t>
      </w:r>
      <w:r>
        <w:t xml:space="preserve"> </w:t>
      </w:r>
      <w:hyperlink w:anchor="ref-md2025a">
        <w:r>
          <w:rPr>
            <w:rStyle w:val="Hyperlink"/>
          </w:rPr>
          <w:t xml:space="preserve">[41]</w:t>
        </w:r>
      </w:hyperlink>
      <w:r>
        <w:t xml:space="preserve">. The modular architecture provides interoperability across jurisdictional boundaries and multiple operational agencies</w:t>
      </w:r>
      <w:r>
        <w:t xml:space="preserve"> </w:t>
      </w:r>
      <w:hyperlink w:anchor="ref-md2025a">
        <w:r>
          <w:rPr>
            <w:rStyle w:val="Hyperlink"/>
          </w:rPr>
          <w:t xml:space="preserve">[41]</w:t>
        </w:r>
      </w:hyperlink>
      <w:r>
        <w:t xml:space="preserve">.</w:t>
      </w:r>
    </w:p>
    <w:p>
      <w:r>
        <w:pict>
          <v:rect style="width:0;height:1.5pt" o:hralign="center" o:hrstd="t" o:hr="t"/>
        </w:pict>
      </w:r>
    </w:p>
    <w:p>
      <w:pPr>
        <w:pStyle w:val="Heading2"/>
      </w:pPr>
      <w:r>
        <w:t xml:space="preserve">X. Implementation Challenges, Governance, and Future Directions</w:t>
      </w:r>
    </w:p>
    <w:p>
      <w:pPr>
        <w:pStyle w:val="Heading3"/>
      </w:pPr>
      <w:r>
        <w:t xml:space="preserve">A. Data Quality and Model Interpretability</w:t>
      </w:r>
    </w:p>
    <w:p>
      <w:pPr>
        <w:pStyle w:val="FirstParagraph"/>
      </w:pPr>
      <w:r>
        <w:t xml:space="preserve">A systematic review of AI-enhanced decision support tools identifies data quality, algorithmic transparency, and model bias as major implementation challenges</w:t>
      </w:r>
      <w:r>
        <w:t xml:space="preserve"> </w:t>
      </w:r>
      <w:hyperlink w:anchor="ref-unknown2025">
        <w:r>
          <w:rPr>
            <w:rStyle w:val="Hyperlink"/>
          </w:rPr>
          <w:t xml:space="preserve">[42]</w:t>
        </w:r>
      </w:hyperlink>
      <w:r>
        <w:t xml:space="preserve">. Explainable AI frameworks and fairness-aware algorithms are essential for ensuring ethical, reliable, and effective AI-driven decision-making</w:t>
      </w:r>
      <w:r>
        <w:t xml:space="preserve"> </w:t>
      </w:r>
      <w:hyperlink w:anchor="ref-unknown2025">
        <w:r>
          <w:rPr>
            <w:rStyle w:val="Hyperlink"/>
          </w:rPr>
          <w:t xml:space="preserve">[42]</w:t>
        </w:r>
      </w:hyperlink>
      <w:r>
        <w:t xml:space="preserve">. Integration of data governance frameworks with AI model validation procedures strengthens system reliability</w:t>
      </w:r>
      <w:r>
        <w:t xml:space="preserve"> </w:t>
      </w:r>
      <w:hyperlink w:anchor="ref-unknown2025">
        <w:r>
          <w:rPr>
            <w:rStyle w:val="Hyperlink"/>
          </w:rPr>
          <w:t xml:space="preserve">[42]</w:t>
        </w:r>
      </w:hyperlink>
      <w:r>
        <w:t xml:space="preserve">.</w:t>
      </w:r>
    </w:p>
    <w:p>
      <w:pPr>
        <w:pStyle w:val="BodyText"/>
      </w:pPr>
      <w:r>
        <w:t xml:space="preserve">Performance evaluation of AI-driven DSS systems remains limited longitudinally, with few studies tracking system impact or user trust over extended periods</w:t>
      </w:r>
      <w:r>
        <w:t xml:space="preserve"> </w:t>
      </w:r>
      <w:hyperlink w:anchor="ref-md2025">
        <w:r>
          <w:rPr>
            <w:rStyle w:val="Hyperlink"/>
          </w:rPr>
          <w:t xml:space="preserve">[22]</w:t>
        </w:r>
      </w:hyperlink>
      <w:r>
        <w:t xml:space="preserve">. The field requires adoption of multidisciplinary perspectives incorporating ethical AI principles, culturally aware design, and long-term performance tracking to ensure responsible implementation</w:t>
      </w:r>
      <w:r>
        <w:t xml:space="preserve"> </w:t>
      </w:r>
      <w:hyperlink w:anchor="ref-md2025">
        <w:r>
          <w:rPr>
            <w:rStyle w:val="Hyperlink"/>
          </w:rPr>
          <w:t xml:space="preserve">[22]</w:t>
        </w:r>
      </w:hyperlink>
      <w:r>
        <w:t xml:space="preserve">.</w:t>
      </w:r>
    </w:p>
    <w:p>
      <w:pPr>
        <w:pStyle w:val="Heading3"/>
      </w:pPr>
      <w:r>
        <w:t xml:space="preserve">B. Organizational Adoption and Human-AI Collaboration</w:t>
      </w:r>
    </w:p>
    <w:p>
      <w:pPr>
        <w:pStyle w:val="FirstParagraph"/>
      </w:pPr>
      <w:r>
        <w:t xml:space="preserve">Strategic implementation of AI-augmented financial decision support in capital-intensive industries depends on robust governance, data quality, and alignment with organizational objectives</w:t>
      </w:r>
      <w:r>
        <w:t xml:space="preserve"> </w:t>
      </w:r>
      <w:hyperlink w:anchor="ref-osemudiamhen2026">
        <w:r>
          <w:rPr>
            <w:rStyle w:val="Hyperlink"/>
          </w:rPr>
          <w:t xml:space="preserve">[43]</w:t>
        </w:r>
      </w:hyperlink>
      <w:r>
        <w:t xml:space="preserve">. The framework positions AI as an augmentative layer enhancing rather than replacing managerial judgment, requiring close collaboration among finance leaders, operations managers, and technical teams</w:t>
      </w:r>
      <w:r>
        <w:t xml:space="preserve"> </w:t>
      </w:r>
      <w:hyperlink w:anchor="ref-osemudiamhen2026">
        <w:r>
          <w:rPr>
            <w:rStyle w:val="Hyperlink"/>
          </w:rPr>
          <w:t xml:space="preserve">[43]</w:t>
        </w:r>
      </w:hyperlink>
      <w:r>
        <w:t xml:space="preserve">.</w:t>
      </w:r>
    </w:p>
    <w:p>
      <w:pPr>
        <w:pStyle w:val="BodyText"/>
      </w:pPr>
      <w:r>
        <w:t xml:space="preserve">Shift planning with AI in airport ground handling operations demonstrates that AI-based optimization enhances not only operational efficiency but also strategic flexibility and predictability</w:t>
      </w:r>
      <w:r>
        <w:t xml:space="preserve"> </w:t>
      </w:r>
      <w:hyperlink w:anchor="ref-mine2025">
        <w:r>
          <w:rPr>
            <w:rStyle w:val="Hyperlink"/>
          </w:rPr>
          <w:t xml:space="preserve">[44]</w:t>
        </w:r>
      </w:hyperlink>
      <w:r>
        <w:t xml:space="preserve">. By delivering data-driven and agile decision-making approaches aligned with multidimensional management objectives—resource management, legal compliance, and employee satisfaction—AI systems support strategic decision-making beyond pure operational metrics</w:t>
      </w:r>
      <w:r>
        <w:t xml:space="preserve"> </w:t>
      </w:r>
      <w:hyperlink w:anchor="ref-mine2025">
        <w:r>
          <w:rPr>
            <w:rStyle w:val="Hyperlink"/>
          </w:rPr>
          <w:t xml:space="preserve">[44]</w:t>
        </w:r>
      </w:hyperlink>
      <w:r>
        <w:t xml:space="preserve">.</w:t>
      </w:r>
    </w:p>
    <w:p>
      <w:pPr>
        <w:pStyle w:val="Heading3"/>
      </w:pPr>
      <w:r>
        <w:t xml:space="preserve">C. Regulatory Frameworks and Ethical Governance</w:t>
      </w:r>
    </w:p>
    <w:p>
      <w:pPr>
        <w:pStyle w:val="FirstParagraph"/>
      </w:pPr>
      <w:r>
        <w:t xml:space="preserve">Regulatory uncertainty and ethical considerations remain significant barriers to AI adoption in decision systems. GDPR, NIST AI RMF, and ISO/IEC standards are frequently referenced but only limitedly implemented in live systems</w:t>
      </w:r>
      <w:r>
        <w:t xml:space="preserve"> </w:t>
      </w:r>
      <w:hyperlink w:anchor="ref-md2025">
        <w:r>
          <w:rPr>
            <w:rStyle w:val="Hyperlink"/>
          </w:rPr>
          <w:t xml:space="preserve">[22]</w:t>
        </w:r>
      </w:hyperlink>
      <w:r>
        <w:t xml:space="preserve">. Future research must prioritize ethical AI deployment frameworks, data lineage documentation, and transparent audit trails to build stakeholder trust</w:t>
      </w:r>
      <w:r>
        <w:t xml:space="preserve"> </w:t>
      </w:r>
      <w:hyperlink w:anchor="ref-md2025">
        <w:r>
          <w:rPr>
            <w:rStyle w:val="Hyperlink"/>
          </w:rPr>
          <w:t xml:space="preserve">[22]</w:t>
        </w:r>
      </w:hyperlink>
      <w:r>
        <w:t xml:space="preserve">.</w:t>
      </w:r>
    </w:p>
    <w:p>
      <w:pPr>
        <w:pStyle w:val="BodyText"/>
      </w:pPr>
      <w:r>
        <w:t xml:space="preserve">The emerging paradigm of "explainable decision support systems" represents a critical evolution toward transparent, accountable AI applications in strategic planning</w:t>
      </w:r>
      <w:r>
        <w:t xml:space="preserve"> </w:t>
      </w:r>
      <w:hyperlink w:anchor="ref-i2025">
        <w:r>
          <w:rPr>
            <w:rStyle w:val="Hyperlink"/>
          </w:rPr>
          <w:t xml:space="preserve">[45]</w:t>
        </w:r>
      </w:hyperlink>
      <w:r>
        <w:t xml:space="preserve">. Multi-criteria decision analysis frameworks for strategic application area selection optimize computational efficiency while maximizing practical utility</w:t>
      </w:r>
      <w:r>
        <w:t xml:space="preserve"> </w:t>
      </w:r>
      <w:hyperlink w:anchor="ref-i2025">
        <w:r>
          <w:rPr>
            <w:rStyle w:val="Hyperlink"/>
          </w:rPr>
          <w:t xml:space="preserve">[45]</w:t>
        </w:r>
      </w:hyperlink>
      <w:r>
        <w:t xml:space="preserve">.</w:t>
      </w:r>
    </w:p>
    <w:p>
      <w:r>
        <w:pict>
          <v:rect style="width:0;height:1.5pt" o:hralign="center" o:hrstd="t" o:hr="t"/>
        </w:pict>
      </w:r>
    </w:p>
    <w:p>
      <w:pPr>
        <w:pStyle w:val="Heading2"/>
      </w:pPr>
      <w:r>
        <w:t xml:space="preserve">XI. Emerging Trends and Advanced Integration Approaches</w:t>
      </w:r>
    </w:p>
    <w:p>
      <w:pPr>
        <w:pStyle w:val="Heading3"/>
      </w:pPr>
      <w:r>
        <w:t xml:space="preserve">A. Generative AI and Autonomous Analytics</w:t>
      </w:r>
    </w:p>
    <w:p>
      <w:pPr>
        <w:pStyle w:val="FirstParagraph"/>
      </w:pPr>
      <w:r>
        <w:t xml:space="preserve">Generative AI tools including large language models enable novel applications in portfolio management, including structured prompt frameworks for stock selection with explainable recommendations</w:t>
      </w:r>
      <w:r>
        <w:t xml:space="preserve"> </w:t>
      </w:r>
      <w:hyperlink w:anchor="ref-zhendai2024">
        <w:r>
          <w:rPr>
            <w:rStyle w:val="Hyperlink"/>
          </w:rPr>
          <w:t xml:space="preserve">[26]</w:t>
        </w:r>
      </w:hyperlink>
      <w:r>
        <w:t xml:space="preserve">. Generative AI combined with portfolio optimization algorithms (NBESOA) achieves superior Sharpe ratios with strict cardinality and transaction cost constraints</w:t>
      </w:r>
      <w:r>
        <w:t xml:space="preserve"> </w:t>
      </w:r>
      <w:hyperlink w:anchor="ref-zhendai2024">
        <w:r>
          <w:rPr>
            <w:rStyle w:val="Hyperlink"/>
          </w:rPr>
          <w:t xml:space="preserve">[26]</w:t>
        </w:r>
      </w:hyperlink>
      <w:r>
        <w:t xml:space="preserve">.</w:t>
      </w:r>
    </w:p>
    <w:p>
      <w:pPr>
        <w:pStyle w:val="BodyText"/>
      </w:pPr>
      <w:r>
        <w:t xml:space="preserve">Autonomous analytics and decision intelligence platforms reshape business operations across finance, healthcare, and public policy by automating complex data analysis, identifying trends, and providing actionable insights</w:t>
      </w:r>
      <w:r>
        <w:t xml:space="preserve"> </w:t>
      </w:r>
      <w:hyperlink w:anchor="ref-ruchi2025">
        <w:r>
          <w:rPr>
            <w:rStyle w:val="Hyperlink"/>
          </w:rPr>
          <w:t xml:space="preserve">[46]</w:t>
        </w:r>
      </w:hyperlink>
      <w:r>
        <w:t xml:space="preserve">. The convergence of AI and autonomous analytics mitigates human error while uncovering hidden patterns within vast datasets</w:t>
      </w:r>
      <w:r>
        <w:t xml:space="preserve"> </w:t>
      </w:r>
      <w:hyperlink w:anchor="ref-ruchi2025">
        <w:r>
          <w:rPr>
            <w:rStyle w:val="Hyperlink"/>
          </w:rPr>
          <w:t xml:space="preserve">[46]</w:t>
        </w:r>
      </w:hyperlink>
      <w:r>
        <w:t xml:space="preserve">.</w:t>
      </w:r>
    </w:p>
    <w:p>
      <w:pPr>
        <w:pStyle w:val="Heading3"/>
      </w:pPr>
      <w:r>
        <w:t xml:space="preserve">B. Physics-Informed Machine Learning and Constraint Integration</w:t>
      </w:r>
    </w:p>
    <w:p>
      <w:pPr>
        <w:pStyle w:val="FirstParagraph"/>
      </w:pPr>
      <w:r>
        <w:t xml:space="preserve">Physics-informed machine learning frameworks integrate domain knowledge with learning-based methods to ensure safety and performance co-optimization in autonomous systems</w:t>
      </w:r>
      <w:r>
        <w:t xml:space="preserve"> </w:t>
      </w:r>
      <w:hyperlink w:anchor="ref-manan2025">
        <w:r>
          <w:rPr>
            <w:rStyle w:val="Hyperlink"/>
          </w:rPr>
          <w:t xml:space="preserve">[47]</w:t>
        </w:r>
      </w:hyperlink>
      <w:r>
        <w:t xml:space="preserve">. The Hamilton-Jacobi-Bellman value function approximation combined with conformal prediction-based verification quantifies learning errors and recovers high-confidence controllers</w:t>
      </w:r>
      <w:r>
        <w:t xml:space="preserve"> </w:t>
      </w:r>
      <w:hyperlink w:anchor="ref-manan2025">
        <w:r>
          <w:rPr>
            <w:rStyle w:val="Hyperlink"/>
          </w:rPr>
          <w:t xml:space="preserve">[47]</w:t>
        </w:r>
      </w:hyperlink>
      <w:r>
        <w:t xml:space="preserve">. This integration proves particularly valuable in mission-critical applications requiring formal safety guarantees</w:t>
      </w:r>
      <w:r>
        <w:t xml:space="preserve"> </w:t>
      </w:r>
      <w:hyperlink w:anchor="ref-manan2025">
        <w:r>
          <w:rPr>
            <w:rStyle w:val="Hyperlink"/>
          </w:rPr>
          <w:t xml:space="preserve">[47]</w:t>
        </w:r>
      </w:hyperlink>
      <w:r>
        <w:t xml:space="preserve">.</w:t>
      </w:r>
    </w:p>
    <w:p>
      <w:pPr>
        <w:pStyle w:val="BodyText"/>
      </w:pPr>
      <w:r>
        <w:t xml:space="preserve">Machine learning integration with mathematical programming (MILP) handles nonlinearity in complex optimization problems by replacing nonlinear constraints with trained ML models compatible with integer programming</w:t>
      </w:r>
      <w:r>
        <w:t xml:space="preserve"> </w:t>
      </w:r>
      <w:hyperlink w:anchor="ref-koki2024">
        <w:r>
          <w:rPr>
            <w:rStyle w:val="Hyperlink"/>
          </w:rPr>
          <w:t xml:space="preserve">[48]</w:t>
        </w:r>
      </w:hyperlink>
      <w:r>
        <w:t xml:space="preserve">. This hybrid approach demonstrates effectiveness in space logistics optimization, handling spacecraft structure mass estimation and fuel/payload capacity relationships</w:t>
      </w:r>
      <w:r>
        <w:t xml:space="preserve"> </w:t>
      </w:r>
      <w:hyperlink w:anchor="ref-koki2024">
        <w:r>
          <w:rPr>
            <w:rStyle w:val="Hyperlink"/>
          </w:rPr>
          <w:t xml:space="preserve">[48]</w:t>
        </w:r>
      </w:hyperlink>
      <w:r>
        <w:t xml:space="preserve">.</w:t>
      </w:r>
    </w:p>
    <w:p>
      <w:pPr>
        <w:pStyle w:val="Heading3"/>
      </w:pPr>
      <w:r>
        <w:t xml:space="preserve">C. Federated Learning and Decentralized Optimization</w:t>
      </w:r>
    </w:p>
    <w:p>
      <w:pPr>
        <w:pStyle w:val="FirstParagraph"/>
      </w:pPr>
      <w:r>
        <w:t xml:space="preserve">Federated learning paradigms enable distributed decision-making across multiple organizational units while maintaining data privacy and governance compliance</w:t>
      </w:r>
      <w:r>
        <w:t xml:space="preserve"> </w:t>
      </w:r>
      <w:hyperlink w:anchor="ref-md2025">
        <w:r>
          <w:rPr>
            <w:rStyle w:val="Hyperlink"/>
          </w:rPr>
          <w:t xml:space="preserve">[22]</w:t>
        </w:r>
      </w:hyperlink>
      <w:r>
        <w:t xml:space="preserve">. Hierarchical multi-objective optimization frameworks support decentralized execution with centralized training, enabling scalable deployment across geographic regions and operational boundaries</w:t>
      </w:r>
      <w:r>
        <w:t xml:space="preserve"> </w:t>
      </w:r>
      <w:hyperlink w:anchor="ref-t2025">
        <w:r>
          <w:rPr>
            <w:rStyle w:val="Hyperlink"/>
          </w:rPr>
          <w:t xml:space="preserve">[49]</w:t>
        </w:r>
      </w:hyperlink>
      <w:r>
        <w:t xml:space="preserve">.</w:t>
      </w:r>
    </w:p>
    <w:p>
      <w:r>
        <w:pict>
          <v:rect style="width:0;height:1.5pt" o:hralign="center" o:hrstd="t" o:hr="t"/>
        </w:pict>
      </w:r>
    </w:p>
    <w:p>
      <w:pPr>
        <w:pStyle w:val="Heading2"/>
      </w:pPr>
      <w:r>
        <w:t xml:space="preserve">XII. Quantitative Impact Summary: Key Performance Improvements</w:t>
      </w:r>
    </w:p>
    <w:p>
      <w:pPr>
        <w:pStyle w:val="FirstParagraph"/>
      </w:pPr>
      <w:r>
        <w:t xml:space="preserve">AI-augmented portfolio management systems demonstrate substantial measurable improvements across key performance indicators:</w:t>
      </w:r>
    </w:p>
    <w:p>
      <w:pPr>
        <w:pStyle w:val="Compact"/>
        <w:numPr>
          <w:ilvl w:val="0"/>
          <w:numId w:val="1001"/>
        </w:numPr>
      </w:pPr>
      <w:r>
        <w:rPr>
          <w:b/>
          <w:bCs/>
        </w:rPr>
        <w:t xml:space="preserve">Portfolio Performance</w:t>
      </w:r>
      <w:r>
        <w:t xml:space="preserve">: AI-driven strategies achieve 15-20% reductions in portfolio volatility and 30% faster rebalancing cycles compared to traditional approaches</w:t>
      </w:r>
      <w:r>
        <w:t xml:space="preserve"> </w:t>
      </w:r>
      <w:hyperlink w:anchor="ref-satyadhar2025">
        <w:r>
          <w:rPr>
            <w:rStyle w:val="Hyperlink"/>
          </w:rPr>
          <w:t xml:space="preserve">[50]</w:t>
        </w:r>
      </w:hyperlink>
    </w:p>
    <w:p>
      <w:pPr>
        <w:pStyle w:val="Compact"/>
        <w:numPr>
          <w:ilvl w:val="0"/>
          <w:numId w:val="1001"/>
        </w:numPr>
      </w:pPr>
      <w:r>
        <w:rPr>
          <w:b/>
          <w:bCs/>
        </w:rPr>
        <w:t xml:space="preserve">Resource Utilization</w:t>
      </w:r>
      <w:r>
        <w:t xml:space="preserve">: Dynamic resource allocation optimization achieves 91.3% resource utilization with 99.2% demand satisfaction rates</w:t>
      </w:r>
      <w:r>
        <w:t xml:space="preserve"> </w:t>
      </w:r>
      <w:hyperlink w:anchor="ref-min2025">
        <w:r>
          <w:rPr>
            <w:rStyle w:val="Hyperlink"/>
          </w:rPr>
          <w:t xml:space="preserve">[51]</w:t>
        </w:r>
      </w:hyperlink>
    </w:p>
    <w:p>
      <w:pPr>
        <w:pStyle w:val="Compact"/>
        <w:numPr>
          <w:ilvl w:val="0"/>
          <w:numId w:val="1001"/>
        </w:numPr>
      </w:pPr>
      <w:r>
        <w:rPr>
          <w:b/>
          <w:bCs/>
        </w:rPr>
        <w:t xml:space="preserve">Cost Efficiency</w:t>
      </w:r>
      <w:r>
        <w:t xml:space="preserve">: Multi-objective optimization frameworks reduce operational costs by 10-23% while maintaining service quality</w:t>
      </w:r>
      <w:r>
        <w:t xml:space="preserve"> </w:t>
      </w:r>
      <w:hyperlink w:anchor="ref-olivia2025">
        <w:r>
          <w:rPr>
            <w:rStyle w:val="Hyperlink"/>
          </w:rPr>
          <w:t xml:space="preserve">[38]</w:t>
        </w:r>
      </w:hyperlink>
    </w:p>
    <w:p>
      <w:pPr>
        <w:pStyle w:val="Compact"/>
        <w:numPr>
          <w:ilvl w:val="0"/>
          <w:numId w:val="1001"/>
        </w:numPr>
      </w:pPr>
      <w:r>
        <w:rPr>
          <w:b/>
          <w:bCs/>
        </w:rPr>
        <w:t xml:space="preserve">Forecasting Accuracy</w:t>
      </w:r>
      <w:r>
        <w:t xml:space="preserve">: AI-enhanced predictive models improve forecasting accuracy by 32-45% compared to conventional methods</w:t>
      </w:r>
      <w:r>
        <w:t xml:space="preserve"> </w:t>
      </w:r>
      <w:hyperlink w:anchor="ref-unknown2025">
        <w:r>
          <w:rPr>
            <w:rStyle w:val="Hyperlink"/>
          </w:rPr>
          <w:t xml:space="preserve">[42]</w:t>
        </w:r>
      </w:hyperlink>
    </w:p>
    <w:p>
      <w:pPr>
        <w:pStyle w:val="Compact"/>
        <w:numPr>
          <w:ilvl w:val="0"/>
          <w:numId w:val="1001"/>
        </w:numPr>
      </w:pPr>
      <w:r>
        <w:rPr>
          <w:b/>
          <w:bCs/>
        </w:rPr>
        <w:t xml:space="preserve">Decision Latency</w:t>
      </w:r>
      <w:r>
        <w:t xml:space="preserve">: Real-time AI systems reduce decision-making cycles from days to milliseconds while maintaining analytical rigor</w:t>
      </w:r>
      <w:r>
        <w:t xml:space="preserve"> </w:t>
      </w:r>
      <w:hyperlink w:anchor="ref-qitong2025">
        <w:r>
          <w:rPr>
            <w:rStyle w:val="Hyperlink"/>
          </w:rPr>
          <w:t xml:space="preserve">[34]</w:t>
        </w:r>
      </w:hyperlink>
    </w:p>
    <w:p>
      <w:pPr>
        <w:pStyle w:val="Compact"/>
        <w:numPr>
          <w:ilvl w:val="0"/>
          <w:numId w:val="1001"/>
        </w:numPr>
      </w:pPr>
      <w:r>
        <w:rPr>
          <w:b/>
          <w:bCs/>
        </w:rPr>
        <w:t xml:space="preserve">Risk Detection</w:t>
      </w:r>
      <w:r>
        <w:t xml:space="preserve">: Anomaly detection systems identify financial irregularities with 98% accuracy rates in real-time processing environments</w:t>
      </w:r>
      <w:r>
        <w:t xml:space="preserve"> </w:t>
      </w:r>
      <w:hyperlink w:anchor="ref-zhiyi2024">
        <w:r>
          <w:rPr>
            <w:rStyle w:val="Hyperlink"/>
          </w:rPr>
          <w:t xml:space="preserve">[52]</w:t>
        </w:r>
      </w:hyperlink>
    </w:p>
    <w:p>
      <w:r>
        <w:pict>
          <v:rect style="width:0;height:1.5pt" o:hralign="center" o:hrstd="t" o:hr="t"/>
        </w:pict>
      </w:r>
    </w:p>
    <w:p>
      <w:pPr>
        <w:pStyle w:val="Heading2"/>
      </w:pPr>
      <w:r>
        <w:t xml:space="preserve">Conclusion</w:t>
      </w:r>
    </w:p>
    <w:p>
      <w:pPr>
        <w:pStyle w:val="FirstParagraph"/>
      </w:pPr>
      <w:r>
        <w:t xml:space="preserve">AI-augmented portfolio management represents a fundamental transformation in how organizations evaluate portfolios, recommend investment strategies, identify redundancies, and maximize mission outcomes under resource constraints. The integration of reinforcement learning, advanced optimization algorithms, explainable AI frameworks, and human-centered decision support creates portfolios that are simultaneously more adaptive, transparent, and strategically aligned. Future advancement depends on addressing data quality challenges, strengthening governance frameworks, and embedding ethical AI principles throughout organizational decision-making architectures. The convergence of physics-informed machine learning, federated optimization, and autonomous analytics promises new capabilities for real-time portfolio adaptation in increasingly complex, uncertain, and mission-critical environments.</w:t>
      </w:r>
    </w:p>
    <w:p>
      <w:r>
        <w:pict>
          <v:rect style="width:0;height:1.5pt" o:hralign="center" o:hrstd="t" o:hr="t"/>
        </w:pict>
      </w:r>
    </w:p>
    <w:p>
      <w:pPr>
        <w:pStyle w:val="Heading2"/>
      </w:pPr>
      <w:r>
        <w:t xml:space="preserve">References</w:t>
      </w:r>
    </w:p>
    <w:p>
      <w:pPr>
        <w:pStyle w:val="FirstParagraph"/>
      </w:pPr>
      <w:r>
        <w:t xml:space="preserve">[1]</w:t>
      </w:r>
      <w:r>
        <w:t xml:space="preserve"> </w:t>
      </w:r>
      <w:r>
        <w:t xml:space="preserve">	</w:t>
      </w:r>
      <w:r>
        <w:t xml:space="preserve">D. C. Fransisca, Sukono, D. Chaerani, and N. Halim,</w:t>
      </w:r>
      <w:r>
        <w:t xml:space="preserve"> </w:t>
      </w:r>
      <w:r>
        <w:t xml:space="preserve">“Robust portfolio mean-variance optimization for capital allocation in stock investment using the genetic algorithm: A systematic literature review,”</w:t>
      </w:r>
      <w:r>
        <w:t xml:space="preserve"> </w:t>
      </w:r>
      <w:r>
        <w:rPr>
          <w:i/>
          <w:iCs/>
        </w:rPr>
        <w:t xml:space="preserve">De Computis</w:t>
      </w:r>
      <w:r>
        <w:t xml:space="preserve">, Aug. 2024, doi:</w:t>
      </w:r>
      <w:r>
        <w:t xml:space="preserve"> </w:t>
      </w:r>
      <w:hyperlink r:id="rId9">
        <w:r>
          <w:rPr>
            <w:rStyle w:val="Hyperlink"/>
          </w:rPr>
          <w:t xml:space="preserve">10.3390/computation12080166</w:t>
        </w:r>
      </w:hyperlink>
      <w:r>
        <w:t xml:space="preserve">.</w:t>
      </w:r>
    </w:p>
    <w:p>
      <w:pPr>
        <w:pStyle w:val="BodyText"/>
      </w:pPr>
      <w:r>
        <w:t xml:space="preserve">[2]</w:t>
      </w:r>
      <w:r>
        <w:t xml:space="preserve"> </w:t>
      </w:r>
      <w:r>
        <w:t xml:space="preserve">	</w:t>
      </w:r>
      <w:r>
        <w:t xml:space="preserve">H. Qiu,</w:t>
      </w:r>
      <w:r>
        <w:t xml:space="preserve"> </w:t>
      </w:r>
      <w:r>
        <w:t xml:space="preserve">“Investment portfolio with convex optimization and risk adjustment using multi-factor model and multi-armed bandit algorithm,”</w:t>
      </w:r>
      <w:r>
        <w:t xml:space="preserve"> </w:t>
      </w:r>
      <w:r>
        <w:rPr>
          <w:i/>
          <w:iCs/>
        </w:rPr>
        <w:t xml:space="preserve">Advances in Economics, Management and Political Sciences</w:t>
      </w:r>
      <w:r>
        <w:t xml:space="preserve">, July 2024, doi:</w:t>
      </w:r>
      <w:r>
        <w:t xml:space="preserve"> </w:t>
      </w:r>
      <w:hyperlink r:id="rId10">
        <w:r>
          <w:rPr>
            <w:rStyle w:val="Hyperlink"/>
          </w:rPr>
          <w:t xml:space="preserve">10.54254/2754-1169/102/2024ed0075</w:t>
        </w:r>
      </w:hyperlink>
      <w:r>
        <w:t xml:space="preserve">.</w:t>
      </w:r>
    </w:p>
    <w:p>
      <w:pPr>
        <w:pStyle w:val="BodyText"/>
      </w:pPr>
      <w:r>
        <w:t xml:space="preserve">[3]</w:t>
      </w:r>
      <w:r>
        <w:t xml:space="preserve"> </w:t>
      </w:r>
      <w:r>
        <w:t xml:space="preserve">	</w:t>
      </w:r>
      <w:r>
        <w:t xml:space="preserve">A. Svoboda,</w:t>
      </w:r>
      <w:r>
        <w:t xml:space="preserve"> </w:t>
      </w:r>
      <w:r>
        <w:t xml:space="preserve">“THE IMPACT OF ARTIFICIAL INTELLIGENCE (AI) ON PORTFOLIO OPTIMIZATION,”</w:t>
      </w:r>
      <w:r>
        <w:t xml:space="preserve"> </w:t>
      </w:r>
      <w:r>
        <w:rPr>
          <w:i/>
          <w:iCs/>
        </w:rPr>
        <w:t xml:space="preserve">Economy &amp; finance</w:t>
      </w:r>
      <w:r>
        <w:t xml:space="preserve">, 2024, doi:</w:t>
      </w:r>
      <w:r>
        <w:t xml:space="preserve"> </w:t>
      </w:r>
      <w:hyperlink r:id="rId11">
        <w:r>
          <w:rPr>
            <w:rStyle w:val="Hyperlink"/>
          </w:rPr>
          <w:t xml:space="preserve">10.51586/2754-6209.2024.12.3.21.26</w:t>
        </w:r>
      </w:hyperlink>
      <w:r>
        <w:t xml:space="preserve">.</w:t>
      </w:r>
    </w:p>
    <w:p>
      <w:pPr>
        <w:pStyle w:val="BodyText"/>
      </w:pPr>
      <w:r>
        <w:t xml:space="preserve">[4]</w:t>
      </w:r>
      <w:r>
        <w:t xml:space="preserve"> </w:t>
      </w:r>
      <w:r>
        <w:t xml:space="preserve">	</w:t>
      </w:r>
      <w:r>
        <w:t xml:space="preserve">H. Sonarghare, D. Shah, and Jayraj V. Solanki, and S. Viramgama,</w:t>
      </w:r>
      <w:r>
        <w:t xml:space="preserve"> </w:t>
      </w:r>
      <w:r>
        <w:t xml:space="preserve">“Earned value management as a strategic tool for cost, schedule, and resource optimization in construction projects,”</w:t>
      </w:r>
      <w:r>
        <w:t xml:space="preserve"> </w:t>
      </w:r>
      <w:r>
        <w:rPr>
          <w:i/>
          <w:iCs/>
        </w:rPr>
        <w:t xml:space="preserve">International Journal of Science, Strategic Management and Technology</w:t>
      </w:r>
      <w:r>
        <w:t xml:space="preserve">, May 2026, doi:</w:t>
      </w:r>
      <w:r>
        <w:t xml:space="preserve"> </w:t>
      </w:r>
      <w:hyperlink r:id="rId12">
        <w:r>
          <w:rPr>
            <w:rStyle w:val="Hyperlink"/>
          </w:rPr>
          <w:t xml:space="preserve">10.55041/ijsmt.v2i5.087</w:t>
        </w:r>
      </w:hyperlink>
      <w:r>
        <w:t xml:space="preserve">.</w:t>
      </w:r>
    </w:p>
    <w:p>
      <w:pPr>
        <w:pStyle w:val="BodyText"/>
      </w:pPr>
      <w:r>
        <w:t xml:space="preserve">[5]</w:t>
      </w:r>
      <w:r>
        <w:t xml:space="preserve"> </w:t>
      </w:r>
      <w:r>
        <w:t xml:space="preserve">	</w:t>
      </w:r>
      <w:r>
        <w:t xml:space="preserve">N. A. Duc,</w:t>
      </w:r>
      <w:r>
        <w:t xml:space="preserve"> </w:t>
      </w:r>
      <w:r>
        <w:t xml:space="preserve">“Risk-based earned value management with cost–time mutual effect to enhance construction forecasts and management,”</w:t>
      </w:r>
      <w:r>
        <w:t xml:space="preserve"> </w:t>
      </w:r>
      <w:r>
        <w:rPr>
          <w:i/>
          <w:iCs/>
        </w:rPr>
        <w:t xml:space="preserve">Journal of Science and Technology in Civil Engineering (JSTCE) - HUCE</w:t>
      </w:r>
      <w:r>
        <w:t xml:space="preserve">, June 2025, doi:</w:t>
      </w:r>
      <w:r>
        <w:t xml:space="preserve"> </w:t>
      </w:r>
      <w:hyperlink r:id="rId13">
        <w:r>
          <w:rPr>
            <w:rStyle w:val="Hyperlink"/>
          </w:rPr>
          <w:t xml:space="preserve">10.31814/stce.huce2025-19(2)-05</w:t>
        </w:r>
      </w:hyperlink>
      <w:r>
        <w:t xml:space="preserve">.</w:t>
      </w:r>
    </w:p>
    <w:p>
      <w:pPr>
        <w:pStyle w:val="BodyText"/>
      </w:pPr>
      <w:r>
        <w:t xml:space="preserve">[6]</w:t>
      </w:r>
      <w:r>
        <w:t xml:space="preserve"> </w:t>
      </w:r>
      <w:r>
        <w:t xml:space="preserve">	</w:t>
      </w:r>
      <w:r>
        <w:t xml:space="preserve">A. Aldea, M. Iacob, M. Daneva, and L. H. Masyhur,</w:t>
      </w:r>
      <w:r>
        <w:t xml:space="preserve"> </w:t>
      </w:r>
      <w:r>
        <w:t xml:space="preserve">“Multi-criteria and model-based analysis for project selection: An integration of capability-based planning, project portfolio management and enterprise architecture,”</w:t>
      </w:r>
      <w:r>
        <w:t xml:space="preserve"> </w:t>
      </w:r>
      <w:r>
        <w:rPr>
          <w:i/>
          <w:iCs/>
        </w:rPr>
        <w:t xml:space="preserve">2019 IEEE 23rd International Enterprise Distributed Object Computing Workshop (EDOCW)</w:t>
      </w:r>
      <w:r>
        <w:t xml:space="preserve">, Oct. 2019, doi:</w:t>
      </w:r>
      <w:r>
        <w:t xml:space="preserve"> </w:t>
      </w:r>
      <w:hyperlink r:id="rId14">
        <w:r>
          <w:rPr>
            <w:rStyle w:val="Hyperlink"/>
          </w:rPr>
          <w:t xml:space="preserve">10.1109/EDOCW.2019.00032</w:t>
        </w:r>
      </w:hyperlink>
      <w:r>
        <w:t xml:space="preserve">.</w:t>
      </w:r>
    </w:p>
    <w:p>
      <w:pPr>
        <w:pStyle w:val="BodyText"/>
      </w:pPr>
      <w:r>
        <w:t xml:space="preserve">[7]</w:t>
      </w:r>
      <w:r>
        <w:t xml:space="preserve"> </w:t>
      </w:r>
      <w:r>
        <w:t xml:space="preserve">	</w:t>
      </w:r>
      <w:r>
        <w:t xml:space="preserve">R. Chessex and Z. Mathews,</w:t>
      </w:r>
      <w:r>
        <w:t xml:space="preserve"> </w:t>
      </w:r>
      <w:r>
        <w:t xml:space="preserve">“A defense capability metric from investment portfolio and technological aging,”</w:t>
      </w:r>
      <w:r>
        <w:t xml:space="preserve"> </w:t>
      </w:r>
      <w:r>
        <w:rPr>
          <w:i/>
          <w:iCs/>
        </w:rPr>
        <w:t xml:space="preserve">IEEE Access</w:t>
      </w:r>
      <w:r>
        <w:t xml:space="preserve">, 2024, doi:</w:t>
      </w:r>
      <w:r>
        <w:t xml:space="preserve"> </w:t>
      </w:r>
      <w:hyperlink r:id="rId15">
        <w:r>
          <w:rPr>
            <w:rStyle w:val="Hyperlink"/>
          </w:rPr>
          <w:t xml:space="preserve">10.1109/ACCESS.2024.3458094</w:t>
        </w:r>
      </w:hyperlink>
      <w:r>
        <w:t xml:space="preserve">.</w:t>
      </w:r>
    </w:p>
    <w:p>
      <w:pPr>
        <w:pStyle w:val="BodyText"/>
      </w:pPr>
      <w:r>
        <w:t xml:space="preserve">[8]</w:t>
      </w:r>
      <w:r>
        <w:t xml:space="preserve"> </w:t>
      </w:r>
      <w:r>
        <w:t xml:space="preserve">	</w:t>
      </w:r>
      <w:r>
        <w:t xml:space="preserve">M. Saiz, D. Lopez-Lopez, L. Calvet, and A. A. Juan,</w:t>
      </w:r>
      <w:r>
        <w:t xml:space="preserve"> </w:t>
      </w:r>
      <w:r>
        <w:t xml:space="preserve">“A genetic algorithm simheuristic for solving the stochastic project portfolio selection problem with portfolio reliability constraints,”</w:t>
      </w:r>
      <w:r>
        <w:t xml:space="preserve"> </w:t>
      </w:r>
      <w:r>
        <w:rPr>
          <w:i/>
          <w:iCs/>
        </w:rPr>
        <w:t xml:space="preserve">International Transactions in Operational Research</w:t>
      </w:r>
      <w:r>
        <w:t xml:space="preserve">, June 2025, doi:</w:t>
      </w:r>
      <w:r>
        <w:t xml:space="preserve"> </w:t>
      </w:r>
      <w:hyperlink r:id="rId16">
        <w:r>
          <w:rPr>
            <w:rStyle w:val="Hyperlink"/>
          </w:rPr>
          <w:t xml:space="preserve">10.1111/itor.70064</w:t>
        </w:r>
      </w:hyperlink>
      <w:r>
        <w:t xml:space="preserve">.</w:t>
      </w:r>
    </w:p>
    <w:p>
      <w:pPr>
        <w:pStyle w:val="BodyText"/>
      </w:pPr>
      <w:r>
        <w:t xml:space="preserve">[9]</w:t>
      </w:r>
      <w:r>
        <w:t xml:space="preserve"> </w:t>
      </w:r>
      <w:r>
        <w:t xml:space="preserve">	</w:t>
      </w:r>
      <w:r>
        <w:t xml:space="preserve">Ü. Sağlam and H. Y. Benson,</w:t>
      </w:r>
      <w:r>
        <w:t xml:space="preserve"> </w:t>
      </w:r>
      <w:r>
        <w:t xml:space="preserve">“Multi-period portfolio optimization model with cone constraints and discrete decisions,”</w:t>
      </w:r>
      <w:r>
        <w:t xml:space="preserve"> </w:t>
      </w:r>
      <w:r>
        <w:rPr>
          <w:i/>
          <w:iCs/>
        </w:rPr>
        <w:t xml:space="preserve">Journal of Risk and Financial Management</w:t>
      </w:r>
      <w:r>
        <w:t xml:space="preserve">, Apr. 2025, doi:</w:t>
      </w:r>
      <w:r>
        <w:t xml:space="preserve"> </w:t>
      </w:r>
      <w:hyperlink r:id="rId17">
        <w:r>
          <w:rPr>
            <w:rStyle w:val="Hyperlink"/>
          </w:rPr>
          <w:t xml:space="preserve">10.2139/SSRN.2932567</w:t>
        </w:r>
      </w:hyperlink>
      <w:r>
        <w:t xml:space="preserve">.</w:t>
      </w:r>
    </w:p>
    <w:p>
      <w:pPr>
        <w:pStyle w:val="BodyText"/>
      </w:pPr>
      <w:r>
        <w:t xml:space="preserve">[10]</w:t>
      </w:r>
      <w:r>
        <w:t xml:space="preserve"> </w:t>
      </w:r>
      <w:r>
        <w:t xml:space="preserve">	</w:t>
      </w:r>
      <w:r>
        <w:t xml:space="preserve">L. Zhao, X. Liu, X. Tian, Y. Liu, and X. Li,</w:t>
      </w:r>
      <w:r>
        <w:t xml:space="preserve"> </w:t>
      </w:r>
      <w:r>
        <w:t xml:space="preserve">“Strategies to overcome challenges in real-world value assessment amid full DRG implementation,”</w:t>
      </w:r>
      <w:r>
        <w:t xml:space="preserve"> </w:t>
      </w:r>
      <w:r>
        <w:rPr>
          <w:i/>
          <w:iCs/>
        </w:rPr>
        <w:t xml:space="preserve">Journal of Clinical and Nursing Research</w:t>
      </w:r>
      <w:r>
        <w:t xml:space="preserve">, Nov. 2025, doi:</w:t>
      </w:r>
      <w:r>
        <w:t xml:space="preserve"> </w:t>
      </w:r>
      <w:hyperlink r:id="rId18">
        <w:r>
          <w:rPr>
            <w:rStyle w:val="Hyperlink"/>
          </w:rPr>
          <w:t xml:space="preserve">10.26689/jcnr.v9i10.12685</w:t>
        </w:r>
      </w:hyperlink>
      <w:r>
        <w:t xml:space="preserve">.</w:t>
      </w:r>
    </w:p>
    <w:p>
      <w:pPr>
        <w:pStyle w:val="BodyText"/>
      </w:pPr>
      <w:r>
        <w:t xml:space="preserve">[11]</w:t>
      </w:r>
      <w:r>
        <w:t xml:space="preserve"> </w:t>
      </w:r>
      <w:r>
        <w:t xml:space="preserve">	</w:t>
      </w:r>
      <w:r>
        <w:t xml:space="preserve">A. Sasmita,</w:t>
      </w:r>
      <w:r>
        <w:t xml:space="preserve"> </w:t>
      </w:r>
      <w:r>
        <w:t xml:space="preserve">“Analysis of road and drainage project performance control using the earned value method: A case study of road and drainage work row 46 segment II jakarta garden city,”</w:t>
      </w:r>
      <w:r>
        <w:t xml:space="preserve"> </w:t>
      </w:r>
      <w:r>
        <w:rPr>
          <w:i/>
          <w:iCs/>
        </w:rPr>
        <w:t xml:space="preserve">Eduvest - Journal Of Universal Studies</w:t>
      </w:r>
      <w:r>
        <w:t xml:space="preserve">, Nov. 2025, doi:</w:t>
      </w:r>
      <w:r>
        <w:t xml:space="preserve"> </w:t>
      </w:r>
      <w:hyperlink r:id="rId19">
        <w:r>
          <w:rPr>
            <w:rStyle w:val="Hyperlink"/>
          </w:rPr>
          <w:t xml:space="preserve">10.59188/eduvest.v5i11.52275</w:t>
        </w:r>
      </w:hyperlink>
      <w:r>
        <w:t xml:space="preserve">.</w:t>
      </w:r>
    </w:p>
    <w:p>
      <w:pPr>
        <w:pStyle w:val="BodyText"/>
      </w:pPr>
      <w:r>
        <w:t xml:space="preserve">[12]</w:t>
      </w:r>
      <w:r>
        <w:t xml:space="preserve"> </w:t>
      </w:r>
      <w:r>
        <w:t xml:space="preserve">	</w:t>
      </w:r>
      <w:r>
        <w:t xml:space="preserve">M. Elsaid, K. Nassar, F. K. Alqahtani, and I. Abotaleb,</w:t>
      </w:r>
      <w:r>
        <w:t xml:space="preserve"> </w:t>
      </w:r>
      <w:r>
        <w:t xml:space="preserve">“Comparative analysis of earned value management techniques in construction projects,”</w:t>
      </w:r>
      <w:r>
        <w:t xml:space="preserve"> </w:t>
      </w:r>
      <w:r>
        <w:rPr>
          <w:i/>
          <w:iCs/>
        </w:rPr>
        <w:t xml:space="preserve">Scientific Reports</w:t>
      </w:r>
      <w:r>
        <w:t xml:space="preserve">, July 2025, doi:</w:t>
      </w:r>
      <w:r>
        <w:t xml:space="preserve"> </w:t>
      </w:r>
      <w:hyperlink r:id="rId20">
        <w:r>
          <w:rPr>
            <w:rStyle w:val="Hyperlink"/>
          </w:rPr>
          <w:t xml:space="preserve">10.1038/s41598-025-05834-z</w:t>
        </w:r>
      </w:hyperlink>
      <w:r>
        <w:t xml:space="preserve">.</w:t>
      </w:r>
    </w:p>
    <w:p>
      <w:pPr>
        <w:pStyle w:val="BodyText"/>
      </w:pPr>
      <w:r>
        <w:t xml:space="preserve">[13]</w:t>
      </w:r>
      <w:r>
        <w:t xml:space="preserve"> </w:t>
      </w:r>
      <w:r>
        <w:t xml:space="preserve">	</w:t>
      </w:r>
      <w:r>
        <w:t xml:space="preserve">C. B. Kapuganti, K. Balaji, T. S. Kumar, and S. Mogili,</w:t>
      </w:r>
      <w:r>
        <w:t xml:space="preserve"> </w:t>
      </w:r>
      <w:r>
        <w:t xml:space="preserve">“Grey earned duration management,”</w:t>
      </w:r>
      <w:r>
        <w:t xml:space="preserve"> </w:t>
      </w:r>
      <w:r>
        <w:rPr>
          <w:i/>
          <w:iCs/>
        </w:rPr>
        <w:t xml:space="preserve">IOP Conference Series: Earth and Environment</w:t>
      </w:r>
      <w:r>
        <w:t xml:space="preserve">, June 2024, doi:</w:t>
      </w:r>
      <w:r>
        <w:t xml:space="preserve"> </w:t>
      </w:r>
      <w:hyperlink r:id="rId21">
        <w:r>
          <w:rPr>
            <w:rStyle w:val="Hyperlink"/>
          </w:rPr>
          <w:t xml:space="preserve">10.1088/1755-1315/1326/1/012153</w:t>
        </w:r>
      </w:hyperlink>
      <w:r>
        <w:t xml:space="preserve">.</w:t>
      </w:r>
    </w:p>
    <w:p>
      <w:pPr>
        <w:pStyle w:val="BodyText"/>
      </w:pPr>
      <w:r>
        <w:t xml:space="preserve">[14]</w:t>
      </w:r>
      <w:r>
        <w:t xml:space="preserve"> </w:t>
      </w:r>
      <w:r>
        <w:t xml:space="preserve">	</w:t>
      </w:r>
      <w:r>
        <w:t xml:space="preserve">S. Hendiani, M. Bagherpour, A. Mahmoudi, and H. Liao,</w:t>
      </w:r>
      <w:r>
        <w:t xml:space="preserve"> </w:t>
      </w:r>
      <w:r>
        <w:t xml:space="preserve">“Z-number based earned value management (ZEVM): A novel pragmatic contribution towards a possibilistic cost-duration assessment,”</w:t>
      </w:r>
      <w:r>
        <w:t xml:space="preserve"> </w:t>
      </w:r>
      <w:r>
        <w:rPr>
          <w:i/>
          <w:iCs/>
        </w:rPr>
        <w:t xml:space="preserve">Computers &amp; industrial engineering</w:t>
      </w:r>
      <w:r>
        <w:t xml:space="preserve">, May 2020, doi:</w:t>
      </w:r>
      <w:r>
        <w:t xml:space="preserve"> </w:t>
      </w:r>
      <w:hyperlink r:id="rId22">
        <w:r>
          <w:rPr>
            <w:rStyle w:val="Hyperlink"/>
          </w:rPr>
          <w:t xml:space="preserve">10.1016/j.cie.2020.106430</w:t>
        </w:r>
      </w:hyperlink>
      <w:r>
        <w:t xml:space="preserve">.</w:t>
      </w:r>
    </w:p>
    <w:p>
      <w:pPr>
        <w:pStyle w:val="BodyText"/>
      </w:pPr>
      <w:r>
        <w:t xml:space="preserve">[15]</w:t>
      </w:r>
      <w:r>
        <w:t xml:space="preserve"> </w:t>
      </w:r>
      <w:r>
        <w:t xml:space="preserve">	</w:t>
      </w:r>
      <w:r>
        <w:t xml:space="preserve">M. Castañón-Puga, R. Rosales-Cisneros, J. Acosta-Prado, A. Tirado-Ramos, C. Khatchikian, and E. Aburto-Camacllanqui,</w:t>
      </w:r>
      <w:r>
        <w:t xml:space="preserve"> </w:t>
      </w:r>
      <w:r>
        <w:t xml:space="preserve">“Earned value management agent-based simulation model,”</w:t>
      </w:r>
      <w:r>
        <w:t xml:space="preserve"> </w:t>
      </w:r>
      <w:r>
        <w:rPr>
          <w:i/>
          <w:iCs/>
        </w:rPr>
        <w:t xml:space="preserve">Syst.</w:t>
      </w:r>
      <w:r>
        <w:t xml:space="preserve">, Feb. 2023, doi:</w:t>
      </w:r>
      <w:r>
        <w:t xml:space="preserve"> </w:t>
      </w:r>
      <w:hyperlink r:id="rId23">
        <w:r>
          <w:rPr>
            <w:rStyle w:val="Hyperlink"/>
          </w:rPr>
          <w:t xml:space="preserve">10.3390/systems11020086</w:t>
        </w:r>
      </w:hyperlink>
      <w:r>
        <w:t xml:space="preserve">.</w:t>
      </w:r>
    </w:p>
    <w:p>
      <w:pPr>
        <w:pStyle w:val="BodyText"/>
      </w:pPr>
      <w:r>
        <w:t xml:space="preserve">[16]</w:t>
      </w:r>
      <w:r>
        <w:t xml:space="preserve"> </w:t>
      </w:r>
      <w:r>
        <w:t xml:space="preserve">	</w:t>
      </w:r>
      <w:r>
        <w:t xml:space="preserve">P. Chakravarthy</w:t>
      </w:r>
      <w:r>
        <w:t xml:space="preserve"> </w:t>
      </w:r>
      <w:r>
        <w:rPr>
          <w:i/>
          <w:iCs/>
        </w:rPr>
        <w:t xml:space="preserve">et al.</w:t>
      </w:r>
      <w:r>
        <w:t xml:space="preserve">,</w:t>
      </w:r>
      <w:r>
        <w:t xml:space="preserve"> </w:t>
      </w:r>
      <w:r>
        <w:t xml:space="preserve">“Environmental sustainability of project schedule management by earned value analysis,”</w:t>
      </w:r>
      <w:r>
        <w:t xml:space="preserve"> </w:t>
      </w:r>
      <w:r>
        <w:rPr>
          <w:i/>
          <w:iCs/>
        </w:rPr>
        <w:t xml:space="preserve">EPJ Web of Conferences</w:t>
      </w:r>
      <w:r>
        <w:t xml:space="preserve">, 2026, doi:</w:t>
      </w:r>
      <w:r>
        <w:t xml:space="preserve"> </w:t>
      </w:r>
      <w:hyperlink r:id="rId24">
        <w:r>
          <w:rPr>
            <w:rStyle w:val="Hyperlink"/>
          </w:rPr>
          <w:t xml:space="preserve">10.1051/epjconf/202636301004</w:t>
        </w:r>
      </w:hyperlink>
      <w:r>
        <w:t xml:space="preserve">.</w:t>
      </w:r>
    </w:p>
    <w:p>
      <w:pPr>
        <w:pStyle w:val="BodyText"/>
      </w:pPr>
      <w:r>
        <w:t xml:space="preserve">[17]</w:t>
      </w:r>
      <w:r>
        <w:t xml:space="preserve"> </w:t>
      </w:r>
      <w:r>
        <w:t xml:space="preserve">	</w:t>
      </w:r>
      <w:r>
        <w:t xml:space="preserve">K. S. R. Ram, S. M, N. I, T. M., K. M, and N. B,</w:t>
      </w:r>
      <w:r>
        <w:t xml:space="preserve"> </w:t>
      </w:r>
      <w:r>
        <w:t xml:space="preserve">“Enhanced investment decision making with a reinforcement learning-based multi-agent portfolio management system,”</w:t>
      </w:r>
      <w:r>
        <w:t xml:space="preserve"> </w:t>
      </w:r>
      <w:r>
        <w:rPr>
          <w:i/>
          <w:iCs/>
        </w:rPr>
        <w:t xml:space="preserve">2024 International Conference on Data Science and Network Security (ICDSNS)</w:t>
      </w:r>
      <w:r>
        <w:t xml:space="preserve">, July 2024, doi:</w:t>
      </w:r>
      <w:r>
        <w:t xml:space="preserve"> </w:t>
      </w:r>
      <w:hyperlink r:id="rId25">
        <w:r>
          <w:rPr>
            <w:rStyle w:val="Hyperlink"/>
          </w:rPr>
          <w:t xml:space="preserve">10.1109/ICDSNS62112.2024.10691210</w:t>
        </w:r>
      </w:hyperlink>
      <w:r>
        <w:t xml:space="preserve">.</w:t>
      </w:r>
    </w:p>
    <w:p>
      <w:pPr>
        <w:pStyle w:val="BodyText"/>
      </w:pPr>
      <w:r>
        <w:t xml:space="preserve">[18]</w:t>
      </w:r>
      <w:r>
        <w:t xml:space="preserve"> </w:t>
      </w:r>
      <w:r>
        <w:t xml:space="preserve">	</w:t>
      </w:r>
      <w:r>
        <w:t xml:space="preserve">Z. Xu,</w:t>
      </w:r>
      <w:r>
        <w:t xml:space="preserve"> </w:t>
      </w:r>
      <w:r>
        <w:t xml:space="preserve">“Dynamic portfolio optimization using reinforcement learning in cryptocurrency markets,”</w:t>
      </w:r>
      <w:r>
        <w:t xml:space="preserve"> </w:t>
      </w:r>
      <w:r>
        <w:rPr>
          <w:i/>
          <w:iCs/>
        </w:rPr>
        <w:t xml:space="preserve">Academic Journal of Business &amp;amp; Management</w:t>
      </w:r>
      <w:r>
        <w:t xml:space="preserve">, 2025, doi:</w:t>
      </w:r>
      <w:r>
        <w:t xml:space="preserve"> </w:t>
      </w:r>
      <w:hyperlink r:id="rId26">
        <w:r>
          <w:rPr>
            <w:rStyle w:val="Hyperlink"/>
          </w:rPr>
          <w:t xml:space="preserve">10.25236/ajbm.2025.070428</w:t>
        </w:r>
      </w:hyperlink>
      <w:r>
        <w:t xml:space="preserve">.</w:t>
      </w:r>
    </w:p>
    <w:p>
      <w:pPr>
        <w:pStyle w:val="BodyText"/>
      </w:pPr>
      <w:r>
        <w:t xml:space="preserve">[19]</w:t>
      </w:r>
      <w:r>
        <w:t xml:space="preserve"> </w:t>
      </w:r>
      <w:r>
        <w:t xml:space="preserve">	</w:t>
      </w:r>
      <w:r>
        <w:t xml:space="preserve">W. Wu and C. A. Hargreaves,</w:t>
      </w:r>
      <w:r>
        <w:t xml:space="preserve"> </w:t>
      </w:r>
      <w:r>
        <w:t xml:space="preserve">“Deep reinforcement learning approach to portfolio optimization in the australian stock market,”</w:t>
      </w:r>
      <w:r>
        <w:t xml:space="preserve"> </w:t>
      </w:r>
      <w:r>
        <w:rPr>
          <w:i/>
          <w:iCs/>
        </w:rPr>
        <w:t xml:space="preserve">AI Computer Science and Robotics Technology</w:t>
      </w:r>
      <w:r>
        <w:t xml:space="preserve">, Sept. 2024, doi:</w:t>
      </w:r>
      <w:r>
        <w:t xml:space="preserve"> </w:t>
      </w:r>
      <w:hyperlink r:id="rId27">
        <w:r>
          <w:rPr>
            <w:rStyle w:val="Hyperlink"/>
          </w:rPr>
          <w:t xml:space="preserve">10.5772/acrt.20230095</w:t>
        </w:r>
      </w:hyperlink>
      <w:r>
        <w:t xml:space="preserve">.</w:t>
      </w:r>
    </w:p>
    <w:p>
      <w:pPr>
        <w:pStyle w:val="BodyText"/>
      </w:pPr>
      <w:r>
        <w:t xml:space="preserve">[20]</w:t>
      </w:r>
      <w:r>
        <w:t xml:space="preserve"> </w:t>
      </w:r>
      <w:r>
        <w:t xml:space="preserve">	</w:t>
      </w:r>
      <w:r>
        <w:t xml:space="preserve">S. A. Mostafa, A. Mohan, and J. Wang,</w:t>
      </w:r>
      <w:r>
        <w:t xml:space="preserve"> </w:t>
      </w:r>
      <w:r>
        <w:t xml:space="preserve">“SLA-MORL: SLA-aware multi-objective reinforcement learning for HPC resource optimization,”</w:t>
      </w:r>
      <w:r>
        <w:t xml:space="preserve"> </w:t>
      </w:r>
      <w:r>
        <w:rPr>
          <w:i/>
          <w:iCs/>
        </w:rPr>
        <w:t xml:space="preserve">International Conference on Machine Learning and Applications</w:t>
      </w:r>
      <w:r>
        <w:t xml:space="preserve">, Aug. 2025, doi:</w:t>
      </w:r>
      <w:r>
        <w:t xml:space="preserve"> </w:t>
      </w:r>
      <w:hyperlink r:id="rId28">
        <w:r>
          <w:rPr>
            <w:rStyle w:val="Hyperlink"/>
          </w:rPr>
          <w:t xml:space="preserve">10.1109/ICMLA66185.2025.00070</w:t>
        </w:r>
      </w:hyperlink>
      <w:r>
        <w:t xml:space="preserve">.</w:t>
      </w:r>
    </w:p>
    <w:p>
      <w:pPr>
        <w:pStyle w:val="BodyText"/>
      </w:pPr>
      <w:r>
        <w:t xml:space="preserve">[21]</w:t>
      </w:r>
      <w:r>
        <w:t xml:space="preserve"> </w:t>
      </w:r>
      <w:r>
        <w:t xml:space="preserve">	</w:t>
      </w:r>
      <w:r>
        <w:t xml:space="preserve">S. M and S. Ks,</w:t>
      </w:r>
      <w:r>
        <w:t xml:space="preserve"> </w:t>
      </w:r>
      <w:r>
        <w:t xml:space="preserve">“Strategic governance intelligence: An AI-driven framework for prescriptive project risk assessment and decision optimization,”</w:t>
      </w:r>
      <w:r>
        <w:t xml:space="preserve"> </w:t>
      </w:r>
      <w:r>
        <w:rPr>
          <w:i/>
          <w:iCs/>
        </w:rPr>
        <w:t xml:space="preserve">International Journal of Scientific Research in Engineering and Management</w:t>
      </w:r>
      <w:r>
        <w:t xml:space="preserve">, Feb. 2026, doi:</w:t>
      </w:r>
      <w:r>
        <w:t xml:space="preserve"> </w:t>
      </w:r>
      <w:hyperlink r:id="rId29">
        <w:r>
          <w:rPr>
            <w:rStyle w:val="Hyperlink"/>
          </w:rPr>
          <w:t xml:space="preserve">10.55041/ijsrem56351</w:t>
        </w:r>
      </w:hyperlink>
      <w:r>
        <w:t xml:space="preserve">.</w:t>
      </w:r>
    </w:p>
    <w:p>
      <w:pPr>
        <w:pStyle w:val="BodyText"/>
      </w:pPr>
      <w:r>
        <w:t xml:space="preserve">[22]</w:t>
      </w:r>
      <w:r>
        <w:t xml:space="preserve"> </w:t>
      </w:r>
      <w:r>
        <w:t xml:space="preserve">	</w:t>
      </w:r>
      <w:r>
        <w:t xml:space="preserve">Md. A. Rahman, M. S. Hossain, A. A. Mintoo, and S. Islam,</w:t>
      </w:r>
      <w:r>
        <w:t xml:space="preserve"> </w:t>
      </w:r>
      <w:r>
        <w:t xml:space="preserve">“A SYSTEMATIC REVIEW OF INTELLIGENT SUPPORT SYSTEMS FOR STRATEGIC DECISION-MAKING USING HUMAN-AI INTERACTION IN ENTERPRISE PLATFORMS,”</w:t>
      </w:r>
      <w:r>
        <w:t xml:space="preserve"> </w:t>
      </w:r>
      <w:r>
        <w:rPr>
          <w:i/>
          <w:iCs/>
        </w:rPr>
        <w:t xml:space="preserve">American Journal of Advanced Technology and Engineering Solutions</w:t>
      </w:r>
      <w:r>
        <w:t xml:space="preserve">, Feb. 2025, doi:</w:t>
      </w:r>
      <w:r>
        <w:t xml:space="preserve"> </w:t>
      </w:r>
      <w:hyperlink r:id="rId30">
        <w:r>
          <w:rPr>
            <w:rStyle w:val="Hyperlink"/>
          </w:rPr>
          <w:t xml:space="preserve">10.63125/a5yh1293</w:t>
        </w:r>
      </w:hyperlink>
      <w:r>
        <w:t xml:space="preserve">.</w:t>
      </w:r>
    </w:p>
    <w:p>
      <w:pPr>
        <w:pStyle w:val="BodyText"/>
      </w:pPr>
      <w:r>
        <w:t xml:space="preserve">[23]</w:t>
      </w:r>
      <w:r>
        <w:t xml:space="preserve"> </w:t>
      </w:r>
      <w:r>
        <w:t xml:space="preserve">	</w:t>
      </w:r>
      <w:r>
        <w:t xml:space="preserve">S. Iram, Dr. M. Rafiq-uz-Zaman, and Dr. N. Malik,</w:t>
      </w:r>
      <w:r>
        <w:t xml:space="preserve"> </w:t>
      </w:r>
      <w:r>
        <w:t xml:space="preserve">“ADVANCING STRATEGIC DECISION-MAKING THROUGH ARTIFICIAL INTELLIGENCE: A CRITICAL REVIEW OF METHODS, APPLICATIONS, BARRIERS, AND EMERGING TRENDS,”</w:t>
      </w:r>
      <w:r>
        <w:t xml:space="preserve"> </w:t>
      </w:r>
      <w:r>
        <w:rPr>
          <w:i/>
          <w:iCs/>
        </w:rPr>
        <w:t xml:space="preserve">Contemporary Journal of Social Science Review</w:t>
      </w:r>
      <w:r>
        <w:t xml:space="preserve">, Sept. 2025, doi:</w:t>
      </w:r>
      <w:r>
        <w:t xml:space="preserve"> </w:t>
      </w:r>
      <w:hyperlink r:id="rId31">
        <w:r>
          <w:rPr>
            <w:rStyle w:val="Hyperlink"/>
          </w:rPr>
          <w:t xml:space="preserve">10.63878/cjssr.v3i3.2289</w:t>
        </w:r>
      </w:hyperlink>
      <w:r>
        <w:t xml:space="preserve">.</w:t>
      </w:r>
    </w:p>
    <w:p>
      <w:pPr>
        <w:pStyle w:val="BodyText"/>
      </w:pPr>
      <w:r>
        <w:t xml:space="preserve">[24]</w:t>
      </w:r>
      <w:r>
        <w:t xml:space="preserve"> </w:t>
      </w:r>
      <w:r>
        <w:t xml:space="preserve">	</w:t>
      </w:r>
      <w:r>
        <w:t xml:space="preserve">D. A. Babu, M. Mansour, N. Srikanth, S. Chhabra, and G. Padole,</w:t>
      </w:r>
      <w:r>
        <w:t xml:space="preserve"> </w:t>
      </w:r>
      <w:r>
        <w:t xml:space="preserve">“AI-orchestrated hybrid optimization framework for strategic leadership intelligence and policy planning,”</w:t>
      </w:r>
      <w:r>
        <w:t xml:space="preserve"> </w:t>
      </w:r>
      <w:r>
        <w:rPr>
          <w:i/>
          <w:iCs/>
        </w:rPr>
        <w:t xml:space="preserve">2026 International Conference on Electronic Systems and Intelligent Computing (ICESIC)</w:t>
      </w:r>
      <w:r>
        <w:t xml:space="preserve">, Mar. 2026, doi:</w:t>
      </w:r>
      <w:r>
        <w:t xml:space="preserve"> </w:t>
      </w:r>
      <w:hyperlink r:id="rId32">
        <w:r>
          <w:rPr>
            <w:rStyle w:val="Hyperlink"/>
          </w:rPr>
          <w:t xml:space="preserve">10.1109/ICESIC67389.2026.11496442</w:t>
        </w:r>
      </w:hyperlink>
      <w:r>
        <w:t xml:space="preserve">.</w:t>
      </w:r>
    </w:p>
    <w:p>
      <w:pPr>
        <w:pStyle w:val="BodyText"/>
      </w:pPr>
      <w:r>
        <w:t xml:space="preserve">[25]</w:t>
      </w:r>
      <w:r>
        <w:t xml:space="preserve"> </w:t>
      </w:r>
      <w:r>
        <w:t xml:space="preserve">	</w:t>
      </w:r>
      <w:r>
        <w:t xml:space="preserve">X. Li and J. Ma,</w:t>
      </w:r>
      <w:r>
        <w:t xml:space="preserve"> </w:t>
      </w:r>
      <w:r>
        <w:t xml:space="preserve">“A BERT and NSGA-II based model for workforce resource allocation optimization in the operational stage of commercial buildings,”</w:t>
      </w:r>
      <w:r>
        <w:t xml:space="preserve"> </w:t>
      </w:r>
      <w:r>
        <w:rPr>
          <w:i/>
          <w:iCs/>
        </w:rPr>
        <w:t xml:space="preserve">Buildings</w:t>
      </w:r>
      <w:r>
        <w:t xml:space="preserve">, Jan. 2026, doi:</w:t>
      </w:r>
      <w:r>
        <w:t xml:space="preserve"> </w:t>
      </w:r>
      <w:hyperlink r:id="rId33">
        <w:r>
          <w:rPr>
            <w:rStyle w:val="Hyperlink"/>
          </w:rPr>
          <w:t xml:space="preserve">10.3390/buildings16020289</w:t>
        </w:r>
      </w:hyperlink>
      <w:r>
        <w:t xml:space="preserve">.</w:t>
      </w:r>
    </w:p>
    <w:p>
      <w:pPr>
        <w:pStyle w:val="BodyText"/>
      </w:pPr>
      <w:r>
        <w:t xml:space="preserve">[26]</w:t>
      </w:r>
      <w:r>
        <w:t xml:space="preserve"> </w:t>
      </w:r>
      <w:r>
        <w:t xml:space="preserve">	</w:t>
      </w:r>
      <w:r>
        <w:t xml:space="preserve">Z. Huang, Z. Zhang, C. Hua, B. Liao, and S. Li,</w:t>
      </w:r>
      <w:r>
        <w:t xml:space="preserve"> </w:t>
      </w:r>
      <w:r>
        <w:t xml:space="preserve">“Leveraging enhanced egret swarm optimization algorithm and artificial intelligence-driven prompt strategies for portfolio selection,”</w:t>
      </w:r>
      <w:r>
        <w:t xml:space="preserve"> </w:t>
      </w:r>
      <w:r>
        <w:rPr>
          <w:i/>
          <w:iCs/>
        </w:rPr>
        <w:t xml:space="preserve">Scientific Reports</w:t>
      </w:r>
      <w:r>
        <w:t xml:space="preserve">, Nov. 2024, doi:</w:t>
      </w:r>
      <w:r>
        <w:t xml:space="preserve"> </w:t>
      </w:r>
      <w:hyperlink r:id="rId34">
        <w:r>
          <w:rPr>
            <w:rStyle w:val="Hyperlink"/>
          </w:rPr>
          <w:t xml:space="preserve">10.1038/s41598-024-77925-2</w:t>
        </w:r>
      </w:hyperlink>
      <w:r>
        <w:t xml:space="preserve">.</w:t>
      </w:r>
    </w:p>
    <w:p>
      <w:pPr>
        <w:pStyle w:val="BodyText"/>
      </w:pPr>
      <w:r>
        <w:t xml:space="preserve">[27]</w:t>
      </w:r>
      <w:r>
        <w:t xml:space="preserve"> </w:t>
      </w:r>
      <w:r>
        <w:t xml:space="preserve">	</w:t>
      </w:r>
      <w:r>
        <w:t xml:space="preserve">X. Li, Z. Wang, J. Zhang, and C. Wu,</w:t>
      </w:r>
      <w:r>
        <w:t xml:space="preserve"> </w:t>
      </w:r>
      <w:r>
        <w:t xml:space="preserve">“Multi-objective allocation strategy based on particle swarm optimization with AHP weighting,”</w:t>
      </w:r>
      <w:r>
        <w:t xml:space="preserve"> </w:t>
      </w:r>
      <w:r>
        <w:rPr>
          <w:i/>
          <w:iCs/>
        </w:rPr>
        <w:t xml:space="preserve">2025 International Conference on Power, Electrical Engineering, Electronics and Control (PEEEC)</w:t>
      </w:r>
      <w:r>
        <w:t xml:space="preserve">, Dec. 2025, doi:</w:t>
      </w:r>
      <w:r>
        <w:t xml:space="preserve"> </w:t>
      </w:r>
      <w:hyperlink r:id="rId35">
        <w:r>
          <w:rPr>
            <w:rStyle w:val="Hyperlink"/>
          </w:rPr>
          <w:t xml:space="preserve">10.1109/PEEEC67807.2025.00082</w:t>
        </w:r>
      </w:hyperlink>
      <w:r>
        <w:t xml:space="preserve">.</w:t>
      </w:r>
    </w:p>
    <w:p>
      <w:pPr>
        <w:pStyle w:val="BodyText"/>
      </w:pPr>
      <w:r>
        <w:t xml:space="preserve">[28]</w:t>
      </w:r>
      <w:r>
        <w:t xml:space="preserve"> </w:t>
      </w:r>
      <w:r>
        <w:t xml:space="preserve">	</w:t>
      </w:r>
      <w:r>
        <w:t xml:space="preserve">R. Zhu, A. Aiyyappan, J. R. Varatharaj, and J. J. S. John,</w:t>
      </w:r>
      <w:r>
        <w:t xml:space="preserve"> </w:t>
      </w:r>
      <w:r>
        <w:t xml:space="preserve">“A standard network selection and resource allocation mechanism in 5G heterogeneous networks using hybrid heuristic algorithm with multi-objective constraints,”</w:t>
      </w:r>
      <w:r>
        <w:t xml:space="preserve"> </w:t>
      </w:r>
      <w:r>
        <w:rPr>
          <w:i/>
          <w:iCs/>
        </w:rPr>
        <w:t xml:space="preserve">EURASIP Journal on Wireless Communications and Networking</w:t>
      </w:r>
      <w:r>
        <w:t xml:space="preserve">, Mar. 2025, doi:</w:t>
      </w:r>
      <w:r>
        <w:t xml:space="preserve"> </w:t>
      </w:r>
      <w:hyperlink r:id="rId36">
        <w:r>
          <w:rPr>
            <w:rStyle w:val="Hyperlink"/>
          </w:rPr>
          <w:t xml:space="preserve">10.1186/s13638-025-02441-4</w:t>
        </w:r>
      </w:hyperlink>
      <w:r>
        <w:t xml:space="preserve">.</w:t>
      </w:r>
    </w:p>
    <w:p>
      <w:pPr>
        <w:pStyle w:val="BodyText"/>
      </w:pPr>
      <w:r>
        <w:t xml:space="preserve">[29]</w:t>
      </w:r>
      <w:r>
        <w:t xml:space="preserve"> </w:t>
      </w:r>
      <w:r>
        <w:t xml:space="preserve">	</w:t>
      </w:r>
      <w:r>
        <w:t xml:space="preserve">N. Bhasin, S. Kadyan, K. Santosh, R. Hp, R. Changala, and B. K. Bala,</w:t>
      </w:r>
      <w:r>
        <w:t xml:space="preserve"> </w:t>
      </w:r>
      <w:r>
        <w:t xml:space="preserve">“Enhancing quantum machine learning algorithms for optimized financial portfolio management,”</w:t>
      </w:r>
      <w:r>
        <w:t xml:space="preserve"> </w:t>
      </w:r>
      <w:r>
        <w:rPr>
          <w:i/>
          <w:iCs/>
        </w:rPr>
        <w:t xml:space="preserve">International Workshop on Intelligent Networking and Collaborative Systems</w:t>
      </w:r>
      <w:r>
        <w:t xml:space="preserve">, Mar. 2024, doi:</w:t>
      </w:r>
      <w:r>
        <w:t xml:space="preserve"> </w:t>
      </w:r>
      <w:hyperlink r:id="rId37">
        <w:r>
          <w:rPr>
            <w:rStyle w:val="Hyperlink"/>
          </w:rPr>
          <w:t xml:space="preserve">10.1109/INCOS59338.2024.10527612</w:t>
        </w:r>
      </w:hyperlink>
      <w:r>
        <w:t xml:space="preserve">.</w:t>
      </w:r>
    </w:p>
    <w:p>
      <w:pPr>
        <w:pStyle w:val="BodyText"/>
      </w:pPr>
      <w:r>
        <w:t xml:space="preserve">[30]</w:t>
      </w:r>
      <w:r>
        <w:t xml:space="preserve"> </w:t>
      </w:r>
      <w:r>
        <w:t xml:space="preserve">	</w:t>
      </w:r>
      <w:r>
        <w:t xml:space="preserve">Dr. Hayat and Dr. Shoeb,</w:t>
      </w:r>
      <w:r>
        <w:t xml:space="preserve"> </w:t>
      </w:r>
      <w:r>
        <w:t xml:space="preserve">“AI-ENHANCED PORTFOLIO MANAGEMENT: CRAFTING OPTIMAL INVESTMENT STRATEGIES FOR DIVERSE FINANCIAL MARKETS,”</w:t>
      </w:r>
      <w:r>
        <w:t xml:space="preserve"> </w:t>
      </w:r>
      <w:r>
        <w:rPr>
          <w:i/>
          <w:iCs/>
        </w:rPr>
        <w:t xml:space="preserve">EPRA International Journal of Economics, Business and Management Studies</w:t>
      </w:r>
      <w:r>
        <w:t xml:space="preserve">, Nov. 2024, doi:</w:t>
      </w:r>
      <w:r>
        <w:t xml:space="preserve"> </w:t>
      </w:r>
      <w:hyperlink r:id="rId38">
        <w:r>
          <w:rPr>
            <w:rStyle w:val="Hyperlink"/>
          </w:rPr>
          <w:t xml:space="preserve">10.36713/epra18874</w:t>
        </w:r>
      </w:hyperlink>
      <w:r>
        <w:t xml:space="preserve">.</w:t>
      </w:r>
    </w:p>
    <w:p>
      <w:pPr>
        <w:pStyle w:val="BodyText"/>
      </w:pPr>
      <w:r>
        <w:t xml:space="preserve">[31]</w:t>
      </w:r>
      <w:r>
        <w:t xml:space="preserve"> </w:t>
      </w:r>
      <w:r>
        <w:t xml:space="preserve">	</w:t>
      </w:r>
      <w:r>
        <w:t xml:space="preserve">Dr. S. Kumari and L. N. M. A. Professor,</w:t>
      </w:r>
      <w:r>
        <w:t xml:space="preserve"> </w:t>
      </w:r>
      <w:r>
        <w:t xml:space="preserve">“AI-enhanced portfolio management: Leveraging machine learning for optimized investment strategies in 2024.”</w:t>
      </w:r>
      <w:r>
        <w:t xml:space="preserve"> </w:t>
      </w:r>
      <w:r>
        <w:rPr>
          <w:i/>
          <w:iCs/>
        </w:rPr>
        <w:t xml:space="preserve">Journal of Informatics Education and Research</w:t>
      </w:r>
      <w:r>
        <w:t xml:space="preserve">, 2024, doi:</w:t>
      </w:r>
      <w:r>
        <w:t xml:space="preserve"> </w:t>
      </w:r>
      <w:hyperlink r:id="rId39">
        <w:r>
          <w:rPr>
            <w:rStyle w:val="Hyperlink"/>
          </w:rPr>
          <w:t xml:space="preserve">10.52783/jier.v4i3.1487</w:t>
        </w:r>
      </w:hyperlink>
      <w:r>
        <w:t xml:space="preserve">.</w:t>
      </w:r>
    </w:p>
    <w:p>
      <w:pPr>
        <w:pStyle w:val="BodyText"/>
      </w:pPr>
      <w:r>
        <w:t xml:space="preserve">[32]</w:t>
      </w:r>
      <w:r>
        <w:t xml:space="preserve"> </w:t>
      </w:r>
      <w:r>
        <w:t xml:space="preserve">	</w:t>
      </w:r>
      <w:r>
        <w:t xml:space="preserve">H. Ma, Y. Chang, H. Wu, L. Xing, K. Deng, and X. Lu,</w:t>
      </w:r>
      <w:r>
        <w:t xml:space="preserve"> </w:t>
      </w:r>
      <w:r>
        <w:t xml:space="preserve">“TARA-IoV: A task-aware video transmission resource allocation optimization algorithm for internet of vehicles,”</w:t>
      </w:r>
      <w:r>
        <w:t xml:space="preserve"> </w:t>
      </w:r>
      <w:r>
        <w:rPr>
          <w:i/>
          <w:iCs/>
        </w:rPr>
        <w:t xml:space="preserve">IEEE Internet of Things Journal</w:t>
      </w:r>
      <w:r>
        <w:t xml:space="preserve">, May 2026, doi:</w:t>
      </w:r>
      <w:r>
        <w:t xml:space="preserve"> </w:t>
      </w:r>
      <w:hyperlink r:id="rId40">
        <w:r>
          <w:rPr>
            <w:rStyle w:val="Hyperlink"/>
          </w:rPr>
          <w:t xml:space="preserve">10.1109/JIOT.2026.3667735</w:t>
        </w:r>
      </w:hyperlink>
      <w:r>
        <w:t xml:space="preserve">.</w:t>
      </w:r>
    </w:p>
    <w:p>
      <w:pPr>
        <w:pStyle w:val="BodyText"/>
      </w:pPr>
      <w:r>
        <w:t xml:space="preserve">[33]</w:t>
      </w:r>
      <w:r>
        <w:t xml:space="preserve"> </w:t>
      </w:r>
      <w:r>
        <w:t xml:space="preserve">	</w:t>
      </w:r>
      <w:r>
        <w:t xml:space="preserve">A. M. Braik, H. S. Gupta, M. Koliou, and AndresD. Gonzalez,</w:t>
      </w:r>
      <w:r>
        <w:t xml:space="preserve"> </w:t>
      </w:r>
      <w:r>
        <w:t xml:space="preserve">“Multi‐hazard probabilistic risk assessment and equitable multi‐objective optimization of building retrofit strategies in hurricane‐vulnerable communities,”</w:t>
      </w:r>
      <w:r>
        <w:t xml:space="preserve"> </w:t>
      </w:r>
      <w:r>
        <w:rPr>
          <w:i/>
          <w:iCs/>
        </w:rPr>
        <w:t xml:space="preserve">Comput. Aided Civ. Infrastructure Eng.</w:t>
      </w:r>
      <w:r>
        <w:t xml:space="preserve">, Feb. 2025, doi:</w:t>
      </w:r>
      <w:r>
        <w:t xml:space="preserve"> </w:t>
      </w:r>
      <w:hyperlink r:id="rId41">
        <w:r>
          <w:rPr>
            <w:rStyle w:val="Hyperlink"/>
          </w:rPr>
          <w:t xml:space="preserve">10.1111/mice.13445</w:t>
        </w:r>
      </w:hyperlink>
      <w:r>
        <w:t xml:space="preserve">.</w:t>
      </w:r>
    </w:p>
    <w:p>
      <w:pPr>
        <w:pStyle w:val="BodyText"/>
      </w:pPr>
      <w:r>
        <w:t xml:space="preserve">[34]</w:t>
      </w:r>
      <w:r>
        <w:t xml:space="preserve"> </w:t>
      </w:r>
      <w:r>
        <w:t xml:space="preserve">	</w:t>
      </w:r>
      <w:r>
        <w:t xml:space="preserve">Q. Li and Y. Zhao,</w:t>
      </w:r>
      <w:r>
        <w:t xml:space="preserve"> </w:t>
      </w:r>
      <w:r>
        <w:t xml:space="preserve">“Attention-augmented multi-agent reinforcement learning for adaptive dynamic resource allocation method,”</w:t>
      </w:r>
      <w:r>
        <w:t xml:space="preserve"> </w:t>
      </w:r>
      <w:r>
        <w:rPr>
          <w:i/>
          <w:iCs/>
        </w:rPr>
        <w:t xml:space="preserve">2025 7th International Conference on Internet of Things, Automation and Artificial Intelligence (IoTAAI)</w:t>
      </w:r>
      <w:r>
        <w:t xml:space="preserve">, Sept. 2025, doi:</w:t>
      </w:r>
      <w:r>
        <w:t xml:space="preserve"> </w:t>
      </w:r>
      <w:hyperlink r:id="rId42">
        <w:r>
          <w:rPr>
            <w:rStyle w:val="Hyperlink"/>
          </w:rPr>
          <w:t xml:space="preserve">10.1109/IoTAAI66837.2025.11213355</w:t>
        </w:r>
      </w:hyperlink>
      <w:r>
        <w:t xml:space="preserve">.</w:t>
      </w:r>
    </w:p>
    <w:p>
      <w:pPr>
        <w:pStyle w:val="BodyText"/>
      </w:pPr>
      <w:r>
        <w:t xml:space="preserve">[35]</w:t>
      </w:r>
      <w:r>
        <w:t xml:space="preserve"> </w:t>
      </w:r>
      <w:r>
        <w:t xml:space="preserve">	</w:t>
      </w:r>
      <w:r>
        <w:t xml:space="preserve">Z. Wu, Y. Miao, D. He, Y. Cao, H. Wang, and C. Wang,</w:t>
      </w:r>
      <w:r>
        <w:t xml:space="preserve"> </w:t>
      </w:r>
      <w:r>
        <w:t xml:space="preserve">“Two-step-search based spatio-temporal resource allocation for task-oriented single-beam directional wireless networks,”</w:t>
      </w:r>
      <w:r>
        <w:t xml:space="preserve"> </w:t>
      </w:r>
      <w:r>
        <w:rPr>
          <w:i/>
          <w:iCs/>
        </w:rPr>
        <w:t xml:space="preserve">2025 6th International Conference on Electronic Communication and Artificial Intelligence (ICECAI)</w:t>
      </w:r>
      <w:r>
        <w:t xml:space="preserve">, June 2025, doi:</w:t>
      </w:r>
      <w:r>
        <w:t xml:space="preserve"> </w:t>
      </w:r>
      <w:hyperlink r:id="rId43">
        <w:r>
          <w:rPr>
            <w:rStyle w:val="Hyperlink"/>
          </w:rPr>
          <w:t xml:space="preserve">10.1109/ICECAI66283.2025.11170883</w:t>
        </w:r>
      </w:hyperlink>
      <w:r>
        <w:t xml:space="preserve">.</w:t>
      </w:r>
    </w:p>
    <w:p>
      <w:pPr>
        <w:pStyle w:val="BodyText"/>
      </w:pPr>
      <w:r>
        <w:t xml:space="preserve">[36]</w:t>
      </w:r>
      <w:r>
        <w:t xml:space="preserve"> </w:t>
      </w:r>
      <w:r>
        <w:t xml:space="preserve">	</w:t>
      </w:r>
      <w:r>
        <w:t xml:space="preserve">S. Zhu, B. E. Robertson, and D. N. Mavris,</w:t>
      </w:r>
      <w:r>
        <w:t xml:space="preserve"> </w:t>
      </w:r>
      <w:r>
        <w:t xml:space="preserve">“Space systems development and acquisition modeling using mixed integer programming,”</w:t>
      </w:r>
      <w:r>
        <w:t xml:space="preserve"> </w:t>
      </w:r>
      <w:r>
        <w:rPr>
          <w:i/>
          <w:iCs/>
        </w:rPr>
        <w:t xml:space="preserve">ASCEND 2022</w:t>
      </w:r>
      <w:r>
        <w:t xml:space="preserve">, Oct. 2022, doi:</w:t>
      </w:r>
      <w:r>
        <w:t xml:space="preserve"> </w:t>
      </w:r>
      <w:hyperlink r:id="rId44">
        <w:r>
          <w:rPr>
            <w:rStyle w:val="Hyperlink"/>
          </w:rPr>
          <w:t xml:space="preserve">https://doi.org/10.2514/6.2022-4354</w:t>
        </w:r>
      </w:hyperlink>
      <w:r>
        <w:t xml:space="preserve">.</w:t>
      </w:r>
    </w:p>
    <w:p>
      <w:pPr>
        <w:pStyle w:val="BodyText"/>
      </w:pPr>
      <w:r>
        <w:t xml:space="preserve">[37]</w:t>
      </w:r>
      <w:r>
        <w:t xml:space="preserve"> </w:t>
      </w:r>
      <w:r>
        <w:t xml:space="preserve">	</w:t>
      </w:r>
      <w:r>
        <w:t xml:space="preserve">R. Guo, J. Chen, T. Lv, J.-X. Wang, Y. Liu, and X. Zhang,</w:t>
      </w:r>
      <w:r>
        <w:t xml:space="preserve"> </w:t>
      </w:r>
      <w:r>
        <w:t xml:space="preserve">“Task allocation for ammunition resource support in land battlefield based on improved particle swarm optimization algorithm,”</w:t>
      </w:r>
      <w:r>
        <w:t xml:space="preserve"> </w:t>
      </w:r>
      <w:r>
        <w:rPr>
          <w:i/>
          <w:iCs/>
        </w:rPr>
        <w:t xml:space="preserve">2025 5th International Conference on Information Communication and Software Engineering (ICICSE)</w:t>
      </w:r>
      <w:r>
        <w:t xml:space="preserve">, Dec. 2025, doi:</w:t>
      </w:r>
      <w:r>
        <w:t xml:space="preserve"> </w:t>
      </w:r>
      <w:hyperlink r:id="rId45">
        <w:r>
          <w:rPr>
            <w:rStyle w:val="Hyperlink"/>
          </w:rPr>
          <w:t xml:space="preserve">10.1109/ICICSE66971.2025.11429736</w:t>
        </w:r>
      </w:hyperlink>
      <w:r>
        <w:t xml:space="preserve">.</w:t>
      </w:r>
    </w:p>
    <w:p>
      <w:pPr>
        <w:pStyle w:val="BodyText"/>
      </w:pPr>
      <w:r>
        <w:t xml:space="preserve">[38]</w:t>
      </w:r>
      <w:r>
        <w:t xml:space="preserve"> </w:t>
      </w:r>
      <w:r>
        <w:t xml:space="preserve">	</w:t>
      </w:r>
      <w:r>
        <w:t xml:space="preserve">O. R. Thompson, M. T. Reynolds, and L. A. Bennett,</w:t>
      </w:r>
      <w:r>
        <w:t xml:space="preserve"> </w:t>
      </w:r>
      <w:r>
        <w:t xml:space="preserve">“Economic and clinical intelligence: Applying data science to optimize healthcare financing and resource allocation in the united states,”</w:t>
      </w:r>
      <w:r>
        <w:t xml:space="preserve"> </w:t>
      </w:r>
      <w:r>
        <w:rPr>
          <w:i/>
          <w:iCs/>
        </w:rPr>
        <w:t xml:space="preserve">International Journal of Multidisciplinary Futuristic Development</w:t>
      </w:r>
      <w:r>
        <w:t xml:space="preserve">, 2025, doi:</w:t>
      </w:r>
      <w:r>
        <w:t xml:space="preserve"> </w:t>
      </w:r>
      <w:hyperlink r:id="rId46">
        <w:r>
          <w:rPr>
            <w:rStyle w:val="Hyperlink"/>
          </w:rPr>
          <w:t xml:space="preserve">10.54660/ijmfd.2025.6.2.138-144</w:t>
        </w:r>
      </w:hyperlink>
      <w:r>
        <w:t xml:space="preserve">.</w:t>
      </w:r>
    </w:p>
    <w:p>
      <w:pPr>
        <w:pStyle w:val="BodyText"/>
      </w:pPr>
      <w:r>
        <w:t xml:space="preserve">[39]</w:t>
      </w:r>
      <w:r>
        <w:t xml:space="preserve"> </w:t>
      </w:r>
      <w:r>
        <w:t xml:space="preserve">	</w:t>
      </w:r>
      <w:r>
        <w:t xml:space="preserve">G. Cavadi and F. Cosenz,</w:t>
      </w:r>
      <w:r>
        <w:t xml:space="preserve"> </w:t>
      </w:r>
      <w:r>
        <w:t xml:space="preserve">“Enhancing healthcare resilience through AI-driven performance management systems.”</w:t>
      </w:r>
      <w:r>
        <w:t xml:space="preserve"> </w:t>
      </w:r>
      <w:r>
        <w:rPr>
          <w:i/>
          <w:iCs/>
        </w:rPr>
        <w:t xml:space="preserve">Journal of health organization and management</w:t>
      </w:r>
      <w:r>
        <w:t xml:space="preserve">, Sept. 2025, doi:</w:t>
      </w:r>
      <w:r>
        <w:t xml:space="preserve"> </w:t>
      </w:r>
      <w:hyperlink r:id="rId47">
        <w:r>
          <w:rPr>
            <w:rStyle w:val="Hyperlink"/>
          </w:rPr>
          <w:t xml:space="preserve">10.1108/JHOM-05-2025-0261</w:t>
        </w:r>
      </w:hyperlink>
      <w:r>
        <w:t xml:space="preserve">.</w:t>
      </w:r>
    </w:p>
    <w:p>
      <w:pPr>
        <w:pStyle w:val="BodyText"/>
      </w:pPr>
      <w:r>
        <w:t xml:space="preserve">[40]</w:t>
      </w:r>
      <w:r>
        <w:t xml:space="preserve"> </w:t>
      </w:r>
      <w:r>
        <w:t xml:space="preserve">	</w:t>
      </w:r>
      <w:r>
        <w:t xml:space="preserve">S. O. Ajide,</w:t>
      </w:r>
      <w:r>
        <w:t xml:space="preserve"> </w:t>
      </w:r>
      <w:r>
        <w:t xml:space="preserve">“AI-driven optimization of sustainable infrastructure: Integrating machine learning and ESG metrics for resilient systems,”</w:t>
      </w:r>
      <w:r>
        <w:t xml:space="preserve"> </w:t>
      </w:r>
      <w:r>
        <w:rPr>
          <w:i/>
          <w:iCs/>
        </w:rPr>
        <w:t xml:space="preserve">International Research Journal of Modernization in Engineering Technology &amp;amp; Science</w:t>
      </w:r>
      <w:r>
        <w:t xml:space="preserve">, Sept. 2025, doi:</w:t>
      </w:r>
      <w:r>
        <w:t xml:space="preserve"> </w:t>
      </w:r>
      <w:hyperlink r:id="rId48">
        <w:r>
          <w:rPr>
            <w:rStyle w:val="Hyperlink"/>
          </w:rPr>
          <w:t xml:space="preserve">10.56726/irjmets82763</w:t>
        </w:r>
      </w:hyperlink>
      <w:r>
        <w:t xml:space="preserve">.</w:t>
      </w:r>
    </w:p>
    <w:p>
      <w:pPr>
        <w:pStyle w:val="BodyText"/>
      </w:pPr>
      <w:r>
        <w:t xml:space="preserve">[41]</w:t>
      </w:r>
      <w:r>
        <w:t xml:space="preserve"> </w:t>
      </w:r>
      <w:r>
        <w:t xml:space="preserve">	</w:t>
      </w:r>
      <w:r>
        <w:t xml:space="preserve">M. E. Hoque, A. R. Nabil, Kazi, S. Hossain, N. Akhtar, and M. R. Amin,</w:t>
      </w:r>
      <w:r>
        <w:t xml:space="preserve"> </w:t>
      </w:r>
      <w:r>
        <w:t xml:space="preserve">“Integrated AI-based decision support systems for emergency supply chain management in the united states during natural disasters,”</w:t>
      </w:r>
      <w:r>
        <w:t xml:space="preserve"> </w:t>
      </w:r>
      <w:r>
        <w:rPr>
          <w:i/>
          <w:iCs/>
        </w:rPr>
        <w:t xml:space="preserve">Journal of Computer Science and Technology Studies</w:t>
      </w:r>
      <w:r>
        <w:t xml:space="preserve">, Oct. 2025, doi:</w:t>
      </w:r>
      <w:r>
        <w:t xml:space="preserve"> </w:t>
      </w:r>
      <w:hyperlink r:id="rId49">
        <w:r>
          <w:rPr>
            <w:rStyle w:val="Hyperlink"/>
          </w:rPr>
          <w:t xml:space="preserve">10.32996/jcsts.2025.7.10.31</w:t>
        </w:r>
      </w:hyperlink>
      <w:r>
        <w:t xml:space="preserve">.</w:t>
      </w:r>
    </w:p>
    <w:p>
      <w:pPr>
        <w:pStyle w:val="BodyText"/>
      </w:pPr>
      <w:r>
        <w:t xml:space="preserve">[42]</w:t>
      </w:r>
      <w:r>
        <w:t xml:space="preserve"> </w:t>
      </w:r>
      <w:r>
        <w:t xml:space="preserve">	</w:t>
      </w:r>
      <w:r>
        <w:t xml:space="preserve">“Optimizing business decision-making through ai-enhanced business intelligence systems: A systematic review of data-driven insights in financial and strategic planning,”</w:t>
      </w:r>
      <w:r>
        <w:t xml:space="preserve"> </w:t>
      </w:r>
      <w:r>
        <w:rPr>
          <w:i/>
          <w:iCs/>
        </w:rPr>
        <w:t xml:space="preserve">Strategic Data Management and Innovation</w:t>
      </w:r>
      <w:r>
        <w:t xml:space="preserve">, Jan. 2025, doi:</w:t>
      </w:r>
      <w:r>
        <w:t xml:space="preserve"> </w:t>
      </w:r>
      <w:hyperlink r:id="rId50">
        <w:r>
          <w:rPr>
            <w:rStyle w:val="Hyperlink"/>
          </w:rPr>
          <w:t xml:space="preserve">10.71292/sdmi.v2i01.21</w:t>
        </w:r>
      </w:hyperlink>
      <w:r>
        <w:t xml:space="preserve">.</w:t>
      </w:r>
    </w:p>
    <w:p>
      <w:pPr>
        <w:pStyle w:val="BodyText"/>
      </w:pPr>
      <w:r>
        <w:t xml:space="preserve">[43]</w:t>
      </w:r>
      <w:r>
        <w:t xml:space="preserve"> </w:t>
      </w:r>
      <w:r>
        <w:t xml:space="preserve">	</w:t>
      </w:r>
      <w:r>
        <w:t xml:space="preserve">O. Ebhojie, A. V. Ibeh, and O. F. Asuzu,</w:t>
      </w:r>
      <w:r>
        <w:t xml:space="preserve"> </w:t>
      </w:r>
      <w:r>
        <w:t xml:space="preserve">“A conceptual framework for AI-augmented financial decision support in capital-intensive industries,”</w:t>
      </w:r>
      <w:r>
        <w:t xml:space="preserve"> </w:t>
      </w:r>
      <w:r>
        <w:rPr>
          <w:i/>
          <w:iCs/>
        </w:rPr>
        <w:t xml:space="preserve">Finance &amp;amp; Accounting Research Journal</w:t>
      </w:r>
      <w:r>
        <w:t xml:space="preserve">, Apr. 2026, doi:</w:t>
      </w:r>
      <w:r>
        <w:t xml:space="preserve"> </w:t>
      </w:r>
      <w:hyperlink r:id="rId51">
        <w:r>
          <w:rPr>
            <w:rStyle w:val="Hyperlink"/>
          </w:rPr>
          <w:t xml:space="preserve">10.51594/farj.v8i4.2265</w:t>
        </w:r>
      </w:hyperlink>
      <w:r>
        <w:t xml:space="preserve">.</w:t>
      </w:r>
    </w:p>
    <w:p>
      <w:pPr>
        <w:pStyle w:val="BodyText"/>
      </w:pPr>
      <w:r>
        <w:t xml:space="preserve">[44]</w:t>
      </w:r>
      <w:r>
        <w:t xml:space="preserve"> </w:t>
      </w:r>
      <w:r>
        <w:t xml:space="preserve">	</w:t>
      </w:r>
      <w:r>
        <w:t xml:space="preserve">M. Değirmencioğlu and A. Macit,</w:t>
      </w:r>
      <w:r>
        <w:t xml:space="preserve"> </w:t>
      </w:r>
      <w:r>
        <w:t xml:space="preserve">“Shift planning with artificial intelligence within the scope of strategic decision-making approach in airport ground handling operations,”</w:t>
      </w:r>
      <w:r>
        <w:t xml:space="preserve"> </w:t>
      </w:r>
      <w:r>
        <w:rPr>
          <w:i/>
          <w:iCs/>
        </w:rPr>
        <w:t xml:space="preserve">Journal of Aviation</w:t>
      </w:r>
      <w:r>
        <w:t xml:space="preserve">, Oct. 2025, doi:</w:t>
      </w:r>
      <w:r>
        <w:t xml:space="preserve"> </w:t>
      </w:r>
      <w:hyperlink r:id="rId52">
        <w:r>
          <w:rPr>
            <w:rStyle w:val="Hyperlink"/>
          </w:rPr>
          <w:t xml:space="preserve">10.30518/jav.1724765</w:t>
        </w:r>
      </w:hyperlink>
      <w:r>
        <w:t xml:space="preserve">.</w:t>
      </w:r>
    </w:p>
    <w:p>
      <w:pPr>
        <w:pStyle w:val="BodyText"/>
      </w:pPr>
      <w:r>
        <w:t xml:space="preserve">[45]</w:t>
      </w:r>
      <w:r>
        <w:t xml:space="preserve"> </w:t>
      </w:r>
      <w:r>
        <w:t xml:space="preserve">	</w:t>
      </w:r>
      <w:r>
        <w:t xml:space="preserve">I. N. Ezeji, M. O. Adigun, and O. Oki,</w:t>
      </w:r>
      <w:r>
        <w:t xml:space="preserve"> </w:t>
      </w:r>
      <w:r>
        <w:t xml:space="preserve">“Strategic selection of application area for optimizing computational complexity in explainable decision support system using multi-criteria decision analysis (MCDA),”</w:t>
      </w:r>
      <w:r>
        <w:t xml:space="preserve"> </w:t>
      </w:r>
      <w:r>
        <w:rPr>
          <w:i/>
          <w:iCs/>
        </w:rPr>
        <w:t xml:space="preserve">Proceedings of the International Multi-Conference on Complexity, Informatics and Cybernetics</w:t>
      </w:r>
      <w:r>
        <w:t xml:space="preserve">, Mar. 2025, doi:</w:t>
      </w:r>
      <w:r>
        <w:t xml:space="preserve"> </w:t>
      </w:r>
      <w:hyperlink r:id="rId53">
        <w:r>
          <w:rPr>
            <w:rStyle w:val="Hyperlink"/>
          </w:rPr>
          <w:t xml:space="preserve">10.54808/imcic2025.01.24</w:t>
        </w:r>
      </w:hyperlink>
      <w:r>
        <w:t xml:space="preserve">.</w:t>
      </w:r>
    </w:p>
    <w:p>
      <w:pPr>
        <w:pStyle w:val="BodyText"/>
      </w:pPr>
      <w:r>
        <w:t xml:space="preserve">[46]</w:t>
      </w:r>
      <w:r>
        <w:t xml:space="preserve"> </w:t>
      </w:r>
      <w:r>
        <w:t xml:space="preserve">	</w:t>
      </w:r>
      <w:r>
        <w:t xml:space="preserve">R. Mangharamani and Dr. S. Saxena,</w:t>
      </w:r>
      <w:r>
        <w:t xml:space="preserve"> </w:t>
      </w:r>
      <w:r>
        <w:t xml:space="preserve">“AI-powered decision intelligence: How autonomous analytics is reshaping business, healthcare, and public policy,”</w:t>
      </w:r>
      <w:r>
        <w:t xml:space="preserve"> </w:t>
      </w:r>
      <w:r>
        <w:rPr>
          <w:i/>
          <w:iCs/>
        </w:rPr>
        <w:t xml:space="preserve">International journal of research in humanities and social sciences</w:t>
      </w:r>
      <w:r>
        <w:t xml:space="preserve">, Mar. 2025, doi:</w:t>
      </w:r>
      <w:r>
        <w:t xml:space="preserve"> </w:t>
      </w:r>
      <w:hyperlink r:id="rId54">
        <w:r>
          <w:rPr>
            <w:rStyle w:val="Hyperlink"/>
          </w:rPr>
          <w:t xml:space="preserve">10.63345/ijrhs.net.v13.i3.17</w:t>
        </w:r>
      </w:hyperlink>
      <w:r>
        <w:t xml:space="preserve">.</w:t>
      </w:r>
    </w:p>
    <w:p>
      <w:pPr>
        <w:pStyle w:val="BodyText"/>
      </w:pPr>
      <w:r>
        <w:t xml:space="preserve">[47]</w:t>
      </w:r>
      <w:r>
        <w:t xml:space="preserve"> </w:t>
      </w:r>
      <w:r>
        <w:t xml:space="preserve">	</w:t>
      </w:r>
      <w:r>
        <w:t xml:space="preserve">M. Tayal, A. Singh, S. N. Y. Kolathaya, and S. Bansal,</w:t>
      </w:r>
      <w:r>
        <w:t xml:space="preserve"> </w:t>
      </w:r>
      <w:r>
        <w:t xml:space="preserve">“A physics-informed machine learning framework for safe and optimal control of autonomous systems,”</w:t>
      </w:r>
      <w:r>
        <w:t xml:space="preserve"> </w:t>
      </w:r>
      <w:r>
        <w:rPr>
          <w:i/>
          <w:iCs/>
        </w:rPr>
        <w:t xml:space="preserve">International Conference on Machine Learning</w:t>
      </w:r>
      <w:r>
        <w:t xml:space="preserve">, Feb. 2025, doi:</w:t>
      </w:r>
      <w:r>
        <w:t xml:space="preserve"> </w:t>
      </w:r>
      <w:hyperlink r:id="rId55">
        <w:r>
          <w:rPr>
            <w:rStyle w:val="Hyperlink"/>
          </w:rPr>
          <w:t xml:space="preserve">10.48550/arXiv.2502.11057</w:t>
        </w:r>
      </w:hyperlink>
      <w:r>
        <w:t xml:space="preserve">.</w:t>
      </w:r>
    </w:p>
    <w:p>
      <w:pPr>
        <w:pStyle w:val="BodyText"/>
      </w:pPr>
      <w:r>
        <w:t xml:space="preserve">[48]</w:t>
      </w:r>
      <w:r>
        <w:t xml:space="preserve"> </w:t>
      </w:r>
      <w:r>
        <w:t xml:space="preserve">	</w:t>
      </w:r>
      <w:r>
        <w:t xml:space="preserve">K. Ho, Y. Shimane, and M. Isaji,</w:t>
      </w:r>
      <w:r>
        <w:t xml:space="preserve"> </w:t>
      </w:r>
      <w:r>
        <w:t xml:space="preserve">“Generalizing space logistics network optimization with integrated machine learning and mathematical programming,”</w:t>
      </w:r>
      <w:r>
        <w:t xml:space="preserve"> </w:t>
      </w:r>
      <w:r>
        <w:rPr>
          <w:i/>
          <w:iCs/>
        </w:rPr>
        <w:t xml:space="preserve">Journal of Spacecraft and Rockets</w:t>
      </w:r>
      <w:r>
        <w:t xml:space="preserve">, Apr. 2024, doi:</w:t>
      </w:r>
      <w:r>
        <w:t xml:space="preserve"> </w:t>
      </w:r>
      <w:hyperlink r:id="rId56">
        <w:r>
          <w:rPr>
            <w:rStyle w:val="Hyperlink"/>
          </w:rPr>
          <w:t xml:space="preserve">10.2514/1.A36122</w:t>
        </w:r>
      </w:hyperlink>
      <w:r>
        <w:t xml:space="preserve">.</w:t>
      </w:r>
    </w:p>
    <w:p>
      <w:pPr>
        <w:pStyle w:val="BodyText"/>
      </w:pPr>
      <w:r>
        <w:t xml:space="preserve">[49]</w:t>
      </w:r>
      <w:r>
        <w:t xml:space="preserve"> </w:t>
      </w:r>
      <w:r>
        <w:t xml:space="preserve">	</w:t>
      </w:r>
      <w:r>
        <w:t xml:space="preserve">T. K. Das, T. Ojha, N. Choudhury, A. Kaushik, and K. Gupta,</w:t>
      </w:r>
      <w:r>
        <w:t xml:space="preserve"> </w:t>
      </w:r>
      <w:r>
        <w:t xml:space="preserve">“QoS-aware joint optimization of task offloading and resource allocation in integrated terrestrial non-terrestrial networks,”</w:t>
      </w:r>
      <w:r>
        <w:t xml:space="preserve"> </w:t>
      </w:r>
      <w:r>
        <w:rPr>
          <w:i/>
          <w:iCs/>
        </w:rPr>
        <w:t xml:space="preserve">International Workshop on Ant Colony Optimization and Swarm Intelligence</w:t>
      </w:r>
      <w:r>
        <w:t xml:space="preserve">, Dec. 2025, doi:</w:t>
      </w:r>
      <w:r>
        <w:t xml:space="preserve"> </w:t>
      </w:r>
      <w:hyperlink r:id="rId57">
        <w:r>
          <w:rPr>
            <w:rStyle w:val="Hyperlink"/>
          </w:rPr>
          <w:t xml:space="preserve">10.1109/ANTS66931.2025.11430110</w:t>
        </w:r>
      </w:hyperlink>
      <w:r>
        <w:t xml:space="preserve">.</w:t>
      </w:r>
    </w:p>
    <w:p>
      <w:pPr>
        <w:pStyle w:val="BodyText"/>
      </w:pPr>
      <w:r>
        <w:t xml:space="preserve">[50]</w:t>
      </w:r>
      <w:r>
        <w:t xml:space="preserve"> </w:t>
      </w:r>
      <w:r>
        <w:t xml:space="preserve">	</w:t>
      </w:r>
      <w:r>
        <w:t xml:space="preserve">S. Joshi,</w:t>
      </w:r>
      <w:r>
        <w:t xml:space="preserve"> </w:t>
      </w:r>
      <w:r>
        <w:t xml:space="preserve">“Generative AI in investment and portfolio management: Comprehensive review of current applications and future directions,”</w:t>
      </w:r>
      <w:r>
        <w:t xml:space="preserve"> </w:t>
      </w:r>
      <w:r>
        <w:rPr>
          <w:i/>
          <w:iCs/>
        </w:rPr>
        <w:t xml:space="preserve">International Journal of Innovative Research in Engineering &amp; Management</w:t>
      </w:r>
      <w:r>
        <w:t xml:space="preserve">, May 2025, doi:</w:t>
      </w:r>
      <w:r>
        <w:t xml:space="preserve"> </w:t>
      </w:r>
      <w:hyperlink r:id="rId58">
        <w:r>
          <w:rPr>
            <w:rStyle w:val="Hyperlink"/>
          </w:rPr>
          <w:t xml:space="preserve">10.55524/ijirem.2025.12.3.1</w:t>
        </w:r>
      </w:hyperlink>
      <w:r>
        <w:t xml:space="preserve">.</w:t>
      </w:r>
    </w:p>
    <w:p>
      <w:pPr>
        <w:pStyle w:val="BodyText"/>
      </w:pPr>
      <w:r>
        <w:t xml:space="preserve">[51]</w:t>
      </w:r>
      <w:r>
        <w:t xml:space="preserve"> </w:t>
      </w:r>
      <w:r>
        <w:t xml:space="preserve">	</w:t>
      </w:r>
      <w:r>
        <w:t xml:space="preserve">M. Wang and L. Chen,</w:t>
      </w:r>
      <w:r>
        <w:t xml:space="preserve"> </w:t>
      </w:r>
      <w:r>
        <w:t xml:space="preserve">“Research on multi-layer resource allocation and real-time scheduling model of digital economy platform for small and medium-sized enterprises,”</w:t>
      </w:r>
      <w:r>
        <w:t xml:space="preserve"> </w:t>
      </w:r>
      <w:r>
        <w:rPr>
          <w:i/>
          <w:iCs/>
        </w:rPr>
        <w:t xml:space="preserve">Proceedings of the 2025 2nd International Conference on Digital Economy and Computer Science</w:t>
      </w:r>
      <w:r>
        <w:t xml:space="preserve">, Oct. 2025, doi:</w:t>
      </w:r>
      <w:r>
        <w:t xml:space="preserve"> </w:t>
      </w:r>
      <w:hyperlink r:id="rId59">
        <w:r>
          <w:rPr>
            <w:rStyle w:val="Hyperlink"/>
          </w:rPr>
          <w:t xml:space="preserve">10.1145/3785706.3785857</w:t>
        </w:r>
      </w:hyperlink>
      <w:r>
        <w:t xml:space="preserve">.</w:t>
      </w:r>
    </w:p>
    <w:p>
      <w:pPr>
        <w:pStyle w:val="BodyText"/>
      </w:pPr>
      <w:r>
        <w:t xml:space="preserve">[52]</w:t>
      </w:r>
      <w:r>
        <w:t xml:space="preserve"> </w:t>
      </w:r>
      <w:r>
        <w:t xml:space="preserve">	</w:t>
      </w:r>
      <w:r>
        <w:t xml:space="preserve">Z. Liu, K. L. Zhang, and H. Zhang,</w:t>
      </w:r>
      <w:r>
        <w:t xml:space="preserve"> </w:t>
      </w:r>
      <w:r>
        <w:t xml:space="preserve">“A new era of financial services: How AI enhances investment efficiency,”</w:t>
      </w:r>
      <w:r>
        <w:t xml:space="preserve"> </w:t>
      </w:r>
      <w:r>
        <w:rPr>
          <w:i/>
          <w:iCs/>
        </w:rPr>
        <w:t xml:space="preserve">International Studies of Economics</w:t>
      </w:r>
      <w:r>
        <w:t xml:space="preserve">, Oct. 2024, doi:</w:t>
      </w:r>
      <w:r>
        <w:t xml:space="preserve"> </w:t>
      </w:r>
      <w:hyperlink r:id="rId60">
        <w:r>
          <w:rPr>
            <w:rStyle w:val="Hyperlink"/>
          </w:rPr>
          <w:t xml:space="preserve">https://doi.org/10.1002/ise3.97</w:t>
        </w:r>
      </w:hyperlink>
      <w:r>
        <w:t xml:space="preserve">.</w:t>
      </w:r>
    </w:p>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 Type="http://schemas.openxmlformats.org/officeDocument/2006/relationships/hyperlink" Id="rId60" Target="https://doi.org/10.1002/ise3.97" TargetMode="External" /><Relationship Type="http://schemas.openxmlformats.org/officeDocument/2006/relationships/hyperlink" Id="rId22" Target="https://doi.org/10.1016/j.cie.2020.106430" TargetMode="External" /><Relationship Type="http://schemas.openxmlformats.org/officeDocument/2006/relationships/hyperlink" Id="rId34" Target="https://doi.org/10.1038/s41598-024-77925-2" TargetMode="External" /><Relationship Type="http://schemas.openxmlformats.org/officeDocument/2006/relationships/hyperlink" Id="rId20" Target="https://doi.org/10.1038/s41598-025-05834-z" TargetMode="External" /><Relationship Type="http://schemas.openxmlformats.org/officeDocument/2006/relationships/hyperlink" Id="rId24" Target="https://doi.org/10.1051/epjconf/202636301004" TargetMode="External" /><Relationship Type="http://schemas.openxmlformats.org/officeDocument/2006/relationships/hyperlink" Id="rId21" Target="https://doi.org/10.1088/1755-1315/1326/1/012153" TargetMode="External" /><Relationship Type="http://schemas.openxmlformats.org/officeDocument/2006/relationships/hyperlink" Id="rId47" Target="https://doi.org/10.1108/JHOM-05-2025-0261" TargetMode="External" /><Relationship Type="http://schemas.openxmlformats.org/officeDocument/2006/relationships/hyperlink" Id="rId15" Target="https://doi.org/10.1109/ACCESS.2024.3458094" TargetMode="External" /><Relationship Type="http://schemas.openxmlformats.org/officeDocument/2006/relationships/hyperlink" Id="rId57" Target="https://doi.org/10.1109/ANTS66931.2025.11430110" TargetMode="External" /><Relationship Type="http://schemas.openxmlformats.org/officeDocument/2006/relationships/hyperlink" Id="rId14" Target="https://doi.org/10.1109/EDOCW.2019.00032" TargetMode="External" /><Relationship Type="http://schemas.openxmlformats.org/officeDocument/2006/relationships/hyperlink" Id="rId25" Target="https://doi.org/10.1109/ICDSNS62112.2024.10691210" TargetMode="External" /><Relationship Type="http://schemas.openxmlformats.org/officeDocument/2006/relationships/hyperlink" Id="rId43" Target="https://doi.org/10.1109/ICECAI66283.2025.11170883" TargetMode="External" /><Relationship Type="http://schemas.openxmlformats.org/officeDocument/2006/relationships/hyperlink" Id="rId32" Target="https://doi.org/10.1109/ICESIC67389.2026.11496442" TargetMode="External" /><Relationship Type="http://schemas.openxmlformats.org/officeDocument/2006/relationships/hyperlink" Id="rId45" Target="https://doi.org/10.1109/ICICSE66971.2025.11429736" TargetMode="External" /><Relationship Type="http://schemas.openxmlformats.org/officeDocument/2006/relationships/hyperlink" Id="rId28" Target="https://doi.org/10.1109/ICMLA66185.2025.00070" TargetMode="External" /><Relationship Type="http://schemas.openxmlformats.org/officeDocument/2006/relationships/hyperlink" Id="rId37" Target="https://doi.org/10.1109/INCOS59338.2024.10527612" TargetMode="External" /><Relationship Type="http://schemas.openxmlformats.org/officeDocument/2006/relationships/hyperlink" Id="rId42" Target="https://doi.org/10.1109/IoTAAI66837.2025.11213355" TargetMode="External" /><Relationship Type="http://schemas.openxmlformats.org/officeDocument/2006/relationships/hyperlink" Id="rId40" Target="https://doi.org/10.1109/JIOT.2026.3667735" TargetMode="External" /><Relationship Type="http://schemas.openxmlformats.org/officeDocument/2006/relationships/hyperlink" Id="rId35" Target="https://doi.org/10.1109/PEEEC67807.2025.00082" TargetMode="External" /><Relationship Type="http://schemas.openxmlformats.org/officeDocument/2006/relationships/hyperlink" Id="rId16" Target="https://doi.org/10.1111/itor.70064" TargetMode="External" /><Relationship Type="http://schemas.openxmlformats.org/officeDocument/2006/relationships/hyperlink" Id="rId41" Target="https://doi.org/10.1111/mice.13445" TargetMode="External" /><Relationship Type="http://schemas.openxmlformats.org/officeDocument/2006/relationships/hyperlink" Id="rId59" Target="https://doi.org/10.1145/3785706.3785857" TargetMode="External" /><Relationship Type="http://schemas.openxmlformats.org/officeDocument/2006/relationships/hyperlink" Id="rId36" Target="https://doi.org/10.1186/s13638-025-02441-4" TargetMode="External" /><Relationship Type="http://schemas.openxmlformats.org/officeDocument/2006/relationships/hyperlink" Id="rId17" Target="https://doi.org/10.2139/SSRN.2932567" TargetMode="External" /><Relationship Type="http://schemas.openxmlformats.org/officeDocument/2006/relationships/hyperlink" Id="rId56" Target="https://doi.org/10.2514/1.A36122" TargetMode="External" /><Relationship Type="http://schemas.openxmlformats.org/officeDocument/2006/relationships/hyperlink" Id="rId44" Target="https://doi.org/10.2514/6.2022-4354" TargetMode="External" /><Relationship Type="http://schemas.openxmlformats.org/officeDocument/2006/relationships/hyperlink" Id="rId26" Target="https://doi.org/10.25236/ajbm.2025.070428" TargetMode="External" /><Relationship Type="http://schemas.openxmlformats.org/officeDocument/2006/relationships/hyperlink" Id="rId18" Target="https://doi.org/10.26689/jcnr.v9i10.12685" TargetMode="External" /><Relationship Type="http://schemas.openxmlformats.org/officeDocument/2006/relationships/hyperlink" Id="rId52" Target="https://doi.org/10.30518/jav.1724765" TargetMode="External" /><Relationship Type="http://schemas.openxmlformats.org/officeDocument/2006/relationships/hyperlink" Id="rId13" Target="https://doi.org/10.31814/stce.huce2025-19(2)-05" TargetMode="External" /><Relationship Type="http://schemas.openxmlformats.org/officeDocument/2006/relationships/hyperlink" Id="rId49" Target="https://doi.org/10.32996/jcsts.2025.7.10.31" TargetMode="External" /><Relationship Type="http://schemas.openxmlformats.org/officeDocument/2006/relationships/hyperlink" Id="rId33" Target="https://doi.org/10.3390/buildings16020289" TargetMode="External" /><Relationship Type="http://schemas.openxmlformats.org/officeDocument/2006/relationships/hyperlink" Id="rId9" Target="https://doi.org/10.3390/computation12080166" TargetMode="External" /><Relationship Type="http://schemas.openxmlformats.org/officeDocument/2006/relationships/hyperlink" Id="rId23" Target="https://doi.org/10.3390/systems11020086" TargetMode="External" /><Relationship Type="http://schemas.openxmlformats.org/officeDocument/2006/relationships/hyperlink" Id="rId38" Target="https://doi.org/10.36713/epra18874" TargetMode="External" /><Relationship Type="http://schemas.openxmlformats.org/officeDocument/2006/relationships/hyperlink" Id="rId55" Target="https://doi.org/10.48550/arXiv.2502.11057" TargetMode="External" /><Relationship Type="http://schemas.openxmlformats.org/officeDocument/2006/relationships/hyperlink" Id="rId11" Target="https://doi.org/10.51586/2754-6209.2024.12.3.21.26" TargetMode="External" /><Relationship Type="http://schemas.openxmlformats.org/officeDocument/2006/relationships/hyperlink" Id="rId51" Target="https://doi.org/10.51594/farj.v8i4.2265" TargetMode="External" /><Relationship Type="http://schemas.openxmlformats.org/officeDocument/2006/relationships/hyperlink" Id="rId39" Target="https://doi.org/10.52783/jier.v4i3.1487" TargetMode="External" /><Relationship Type="http://schemas.openxmlformats.org/officeDocument/2006/relationships/hyperlink" Id="rId10" Target="https://doi.org/10.54254/2754-1169/102/2024ed0075" TargetMode="External" /><Relationship Type="http://schemas.openxmlformats.org/officeDocument/2006/relationships/hyperlink" Id="rId46" Target="https://doi.org/10.54660/ijmfd.2025.6.2.138-144" TargetMode="External" /><Relationship Type="http://schemas.openxmlformats.org/officeDocument/2006/relationships/hyperlink" Id="rId53" Target="https://doi.org/10.54808/imcic2025.01.24" TargetMode="External" /><Relationship Type="http://schemas.openxmlformats.org/officeDocument/2006/relationships/hyperlink" Id="rId12" Target="https://doi.org/10.55041/ijsmt.v2i5.087" TargetMode="External" /><Relationship Type="http://schemas.openxmlformats.org/officeDocument/2006/relationships/hyperlink" Id="rId29" Target="https://doi.org/10.55041/ijsrem56351" TargetMode="External" /><Relationship Type="http://schemas.openxmlformats.org/officeDocument/2006/relationships/hyperlink" Id="rId58" Target="https://doi.org/10.55524/ijirem.2025.12.3.1" TargetMode="External" /><Relationship Type="http://schemas.openxmlformats.org/officeDocument/2006/relationships/hyperlink" Id="rId48" Target="https://doi.org/10.56726/irjmets82763" TargetMode="External" /><Relationship Type="http://schemas.openxmlformats.org/officeDocument/2006/relationships/hyperlink" Id="rId27" Target="https://doi.org/10.5772/acrt.20230095" TargetMode="External" /><Relationship Type="http://schemas.openxmlformats.org/officeDocument/2006/relationships/hyperlink" Id="rId19" Target="https://doi.org/10.59188/eduvest.v5i11.52275" TargetMode="External" /><Relationship Type="http://schemas.openxmlformats.org/officeDocument/2006/relationships/hyperlink" Id="rId30" Target="https://doi.org/10.63125/a5yh1293" TargetMode="External" /><Relationship Type="http://schemas.openxmlformats.org/officeDocument/2006/relationships/hyperlink" Id="rId54" Target="https://doi.org/10.63345/ijrhs.net.v13.i3.17" TargetMode="External" /><Relationship Type="http://schemas.openxmlformats.org/officeDocument/2006/relationships/hyperlink" Id="rId31" Target="https://doi.org/10.63878/cjssr.v3i3.2289" TargetMode="External" /><Relationship Type="http://schemas.openxmlformats.org/officeDocument/2006/relationships/hyperlink" Id="rId50" Target="https://doi.org/10.71292/sdmi.v2i01.21" TargetMode="External" /></Relationships>
</file>

<file path=word/_rels/footnotes.xml.rels><?xml version="1.0" encoding="UTF-8"?><Relationships xmlns="http://schemas.openxmlformats.org/package/2006/relationships"><Relationship Type="http://schemas.openxmlformats.org/officeDocument/2006/relationships/hyperlink" Id="rId60" Target="https://doi.org/10.1002/ise3.97" TargetMode="External" /><Relationship Type="http://schemas.openxmlformats.org/officeDocument/2006/relationships/hyperlink" Id="rId22" Target="https://doi.org/10.1016/j.cie.2020.106430" TargetMode="External" /><Relationship Type="http://schemas.openxmlformats.org/officeDocument/2006/relationships/hyperlink" Id="rId34" Target="https://doi.org/10.1038/s41598-024-77925-2" TargetMode="External" /><Relationship Type="http://schemas.openxmlformats.org/officeDocument/2006/relationships/hyperlink" Id="rId20" Target="https://doi.org/10.1038/s41598-025-05834-z" TargetMode="External" /><Relationship Type="http://schemas.openxmlformats.org/officeDocument/2006/relationships/hyperlink" Id="rId24" Target="https://doi.org/10.1051/epjconf/202636301004" TargetMode="External" /><Relationship Type="http://schemas.openxmlformats.org/officeDocument/2006/relationships/hyperlink" Id="rId21" Target="https://doi.org/10.1088/1755-1315/1326/1/012153" TargetMode="External" /><Relationship Type="http://schemas.openxmlformats.org/officeDocument/2006/relationships/hyperlink" Id="rId47" Target="https://doi.org/10.1108/JHOM-05-2025-0261" TargetMode="External" /><Relationship Type="http://schemas.openxmlformats.org/officeDocument/2006/relationships/hyperlink" Id="rId15" Target="https://doi.org/10.1109/ACCESS.2024.3458094" TargetMode="External" /><Relationship Type="http://schemas.openxmlformats.org/officeDocument/2006/relationships/hyperlink" Id="rId57" Target="https://doi.org/10.1109/ANTS66931.2025.11430110" TargetMode="External" /><Relationship Type="http://schemas.openxmlformats.org/officeDocument/2006/relationships/hyperlink" Id="rId14" Target="https://doi.org/10.1109/EDOCW.2019.00032" TargetMode="External" /><Relationship Type="http://schemas.openxmlformats.org/officeDocument/2006/relationships/hyperlink" Id="rId25" Target="https://doi.org/10.1109/ICDSNS62112.2024.10691210" TargetMode="External" /><Relationship Type="http://schemas.openxmlformats.org/officeDocument/2006/relationships/hyperlink" Id="rId43" Target="https://doi.org/10.1109/ICECAI66283.2025.11170883" TargetMode="External" /><Relationship Type="http://schemas.openxmlformats.org/officeDocument/2006/relationships/hyperlink" Id="rId32" Target="https://doi.org/10.1109/ICESIC67389.2026.11496442" TargetMode="External" /><Relationship Type="http://schemas.openxmlformats.org/officeDocument/2006/relationships/hyperlink" Id="rId45" Target="https://doi.org/10.1109/ICICSE66971.2025.11429736" TargetMode="External" /><Relationship Type="http://schemas.openxmlformats.org/officeDocument/2006/relationships/hyperlink" Id="rId28" Target="https://doi.org/10.1109/ICMLA66185.2025.00070" TargetMode="External" /><Relationship Type="http://schemas.openxmlformats.org/officeDocument/2006/relationships/hyperlink" Id="rId37" Target="https://doi.org/10.1109/INCOS59338.2024.10527612" TargetMode="External" /><Relationship Type="http://schemas.openxmlformats.org/officeDocument/2006/relationships/hyperlink" Id="rId42" Target="https://doi.org/10.1109/IoTAAI66837.2025.11213355" TargetMode="External" /><Relationship Type="http://schemas.openxmlformats.org/officeDocument/2006/relationships/hyperlink" Id="rId40" Target="https://doi.org/10.1109/JIOT.2026.3667735" TargetMode="External" /><Relationship Type="http://schemas.openxmlformats.org/officeDocument/2006/relationships/hyperlink" Id="rId35" Target="https://doi.org/10.1109/PEEEC67807.2025.00082" TargetMode="External" /><Relationship Type="http://schemas.openxmlformats.org/officeDocument/2006/relationships/hyperlink" Id="rId16" Target="https://doi.org/10.1111/itor.70064" TargetMode="External" /><Relationship Type="http://schemas.openxmlformats.org/officeDocument/2006/relationships/hyperlink" Id="rId41" Target="https://doi.org/10.1111/mice.13445" TargetMode="External" /><Relationship Type="http://schemas.openxmlformats.org/officeDocument/2006/relationships/hyperlink" Id="rId59" Target="https://doi.org/10.1145/3785706.3785857" TargetMode="External" /><Relationship Type="http://schemas.openxmlformats.org/officeDocument/2006/relationships/hyperlink" Id="rId36" Target="https://doi.org/10.1186/s13638-025-02441-4" TargetMode="External" /><Relationship Type="http://schemas.openxmlformats.org/officeDocument/2006/relationships/hyperlink" Id="rId17" Target="https://doi.org/10.2139/SSRN.2932567" TargetMode="External" /><Relationship Type="http://schemas.openxmlformats.org/officeDocument/2006/relationships/hyperlink" Id="rId56" Target="https://doi.org/10.2514/1.A36122" TargetMode="External" /><Relationship Type="http://schemas.openxmlformats.org/officeDocument/2006/relationships/hyperlink" Id="rId44" Target="https://doi.org/10.2514/6.2022-4354" TargetMode="External" /><Relationship Type="http://schemas.openxmlformats.org/officeDocument/2006/relationships/hyperlink" Id="rId26" Target="https://doi.org/10.25236/ajbm.2025.070428" TargetMode="External" /><Relationship Type="http://schemas.openxmlformats.org/officeDocument/2006/relationships/hyperlink" Id="rId18" Target="https://doi.org/10.26689/jcnr.v9i10.12685" TargetMode="External" /><Relationship Type="http://schemas.openxmlformats.org/officeDocument/2006/relationships/hyperlink" Id="rId52" Target="https://doi.org/10.30518/jav.1724765" TargetMode="External" /><Relationship Type="http://schemas.openxmlformats.org/officeDocument/2006/relationships/hyperlink" Id="rId13" Target="https://doi.org/10.31814/stce.huce2025-19(2)-05" TargetMode="External" /><Relationship Type="http://schemas.openxmlformats.org/officeDocument/2006/relationships/hyperlink" Id="rId49" Target="https://doi.org/10.32996/jcsts.2025.7.10.31" TargetMode="External" /><Relationship Type="http://schemas.openxmlformats.org/officeDocument/2006/relationships/hyperlink" Id="rId33" Target="https://doi.org/10.3390/buildings16020289" TargetMode="External" /><Relationship Type="http://schemas.openxmlformats.org/officeDocument/2006/relationships/hyperlink" Id="rId9" Target="https://doi.org/10.3390/computation12080166" TargetMode="External" /><Relationship Type="http://schemas.openxmlformats.org/officeDocument/2006/relationships/hyperlink" Id="rId23" Target="https://doi.org/10.3390/systems11020086" TargetMode="External" /><Relationship Type="http://schemas.openxmlformats.org/officeDocument/2006/relationships/hyperlink" Id="rId38" Target="https://doi.org/10.36713/epra18874" TargetMode="External" /><Relationship Type="http://schemas.openxmlformats.org/officeDocument/2006/relationships/hyperlink" Id="rId55" Target="https://doi.org/10.48550/arXiv.2502.11057" TargetMode="External" /><Relationship Type="http://schemas.openxmlformats.org/officeDocument/2006/relationships/hyperlink" Id="rId11" Target="https://doi.org/10.51586/2754-6209.2024.12.3.21.26" TargetMode="External" /><Relationship Type="http://schemas.openxmlformats.org/officeDocument/2006/relationships/hyperlink" Id="rId51" Target="https://doi.org/10.51594/farj.v8i4.2265" TargetMode="External" /><Relationship Type="http://schemas.openxmlformats.org/officeDocument/2006/relationships/hyperlink" Id="rId39" Target="https://doi.org/10.52783/jier.v4i3.1487" TargetMode="External" /><Relationship Type="http://schemas.openxmlformats.org/officeDocument/2006/relationships/hyperlink" Id="rId10" Target="https://doi.org/10.54254/2754-1169/102/2024ed0075" TargetMode="External" /><Relationship Type="http://schemas.openxmlformats.org/officeDocument/2006/relationships/hyperlink" Id="rId46" Target="https://doi.org/10.54660/ijmfd.2025.6.2.138-144" TargetMode="External" /><Relationship Type="http://schemas.openxmlformats.org/officeDocument/2006/relationships/hyperlink" Id="rId53" Target="https://doi.org/10.54808/imcic2025.01.24" TargetMode="External" /><Relationship Type="http://schemas.openxmlformats.org/officeDocument/2006/relationships/hyperlink" Id="rId12" Target="https://doi.org/10.55041/ijsmt.v2i5.087" TargetMode="External" /><Relationship Type="http://schemas.openxmlformats.org/officeDocument/2006/relationships/hyperlink" Id="rId29" Target="https://doi.org/10.55041/ijsrem56351" TargetMode="External" /><Relationship Type="http://schemas.openxmlformats.org/officeDocument/2006/relationships/hyperlink" Id="rId58" Target="https://doi.org/10.55524/ijirem.2025.12.3.1" TargetMode="External" /><Relationship Type="http://schemas.openxmlformats.org/officeDocument/2006/relationships/hyperlink" Id="rId48" Target="https://doi.org/10.56726/irjmets82763" TargetMode="External" /><Relationship Type="http://schemas.openxmlformats.org/officeDocument/2006/relationships/hyperlink" Id="rId27" Target="https://doi.org/10.5772/acrt.20230095" TargetMode="External" /><Relationship Type="http://schemas.openxmlformats.org/officeDocument/2006/relationships/hyperlink" Id="rId19" Target="https://doi.org/10.59188/eduvest.v5i11.52275" TargetMode="External" /><Relationship Type="http://schemas.openxmlformats.org/officeDocument/2006/relationships/hyperlink" Id="rId30" Target="https://doi.org/10.63125/a5yh1293" TargetMode="External" /><Relationship Type="http://schemas.openxmlformats.org/officeDocument/2006/relationships/hyperlink" Id="rId54" Target="https://doi.org/10.63345/ijrhs.net.v13.i3.17" TargetMode="External" /><Relationship Type="http://schemas.openxmlformats.org/officeDocument/2006/relationships/hyperlink" Id="rId31" Target="https://doi.org/10.63878/cjssr.v3i3.2289" TargetMode="External" /><Relationship Type="http://schemas.openxmlformats.org/officeDocument/2006/relationships/hyperlink" Id="rId50" Target="https://doi.org/10.71292/sdmi.v2i01.21"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2026-06-07T18:51:16Z</dcterms:created>
  <dcterms:modified xsi:type="dcterms:W3CDTF">2026-06-07T18:51:16Z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ibliography">
    <vt:lpwstr>/tmp/document-temp/references_1ac6fc271e744dd8_1780858275.bib</vt:lpwstr>
  </property>
  <property fmtid="{D5CDD505-2E9C-101B-9397-08002B2CF9AE}" pid="3" name="csl">
    <vt:lpwstr>/tmp/document-temp/style_1ac6fc271e744dd8_1780858275.csl</vt:lpwstr>
  </property>
  <property fmtid="{D5CDD505-2E9C-101B-9397-08002B2CF9AE}" pid="4" name="link-citations">
    <vt:lpwstr>True</vt:lpwstr>
  </property>
</Properties>
</file>