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1"/>
      </w:pPr>
      <w:r>
        <w:t xml:space="preserve">Prompt 10 — Autonomous Enterprise Decision Systems</w:t>
      </w:r>
    </w:p>
    <w:p>
      <w:pPr>
        <w:pStyle w:val="FirstParagraph"/>
      </w:pPr>
      <w:r>
        <w:t xml:space="preserve">Conduct a forward-looking research assessment of autonomous enterprise decision systems that combine knowledge graphs, ontologies, large language models, simulations, optimization engines, and digital twins. Develop a conceptual framework describing how future organizations may evolve from data-driven enterprises to continuously optimized AI-assisted enterprises. Identify enabling technologies, research gaps, barriers to adoption, and implications for government, defense, aerospace, and critical infrastructure sectors.</w:t>
      </w:r>
    </w:p>
    <w:p>
      <w:pPr>
        <w:pStyle w:val="BodyText"/>
      </w:pPr>
      <w:r>
        <w:rPr>
          <w:b/>
          <w:bCs/>
        </w:rPr>
        <w:t xml:space="preserve">Generated on:</w:t>
      </w:r>
      <w:r>
        <w:t xml:space="preserve"> </w:t>
      </w:r>
      <w:r>
        <w:t xml:space="preserve">June 07, 2026</w:t>
      </w:r>
    </w:p>
    <w:p>
      <w:r>
        <w:pict>
          <v:rect style="width:0;height:1.5pt" o:hralign="center" o:hrstd="t" o:hr="t"/>
        </w:pict>
      </w:r>
    </w:p>
    <w:p>
      <w:pPr>
        <w:pStyle w:val="FirstParagraph"/>
      </w:pPr>
      <w:r>
        <w:t xml:space="preserve">Excellent. I now have comprehensive research material covering autonomous enterprise decision systems. Let me create a structured outline and begin writing the comprehensive literature review.</w:t>
      </w:r>
    </w:p>
    <w:p>
      <w:pPr>
        <w:pStyle w:val="Heading2"/>
      </w:pPr>
      <w:r>
        <w:t xml:space="preserve">Comprehensive Literature Review: Autonomous Enterprise Decision Systems</w:t>
      </w:r>
    </w:p>
    <w:p>
      <w:pPr>
        <w:pStyle w:val="FirstParagraph"/>
      </w:pPr>
      <w:r>
        <w:t xml:space="preserve">Based on my extensive search, I have gathered 150+ relevant papers across the key topics. Let me now develop and write the complete literature review.</w:t>
      </w:r>
    </w:p>
    <w:p>
      <w:r>
        <w:pict>
          <v:rect style="width:0;height:1.5pt" o:hralign="center" o:hrstd="t" o:hr="t"/>
        </w:pict>
      </w:r>
    </w:p>
    <w:p>
      <w:pPr>
        <w:pStyle w:val="Heading1"/>
      </w:pPr>
      <w:r>
        <w:rPr>
          <w:b/>
          <w:bCs/>
        </w:rPr>
        <w:t xml:space="preserve">Autonomous Enterprise Decision Systems: Evolution from Data-Driven to Continuously Optimized AI-Assisted Enterprises</w:t>
      </w:r>
    </w:p>
    <w:p>
      <w:pPr>
        <w:pStyle w:val="Heading2"/>
      </w:pPr>
      <w:r>
        <w:rPr>
          <w:b/>
          <w:bCs/>
        </w:rPr>
        <w:t xml:space="preserve">I. Foundational Framework and Definition of Autonomous Enterprise Decision Systems</w:t>
      </w:r>
    </w:p>
    <w:p>
      <w:pPr>
        <w:pStyle w:val="FirstParagraph"/>
      </w:pPr>
      <w:r>
        <w:t xml:space="preserve">Autonomous Enterprise Decision Systems (AEDS) represent a fundamental evolution in enterprise information technology architecture, transcending traditional business intelligence and decision support paradigms</w:t>
      </w:r>
      <w:r>
        <w:t xml:space="preserve"> </w:t>
      </w:r>
      <w:hyperlink w:anchor="ref-dadhimukh2026">
        <w:r>
          <w:rPr>
            <w:rStyle w:val="Hyperlink"/>
          </w:rPr>
          <w:t xml:space="preserve">[1]</w:t>
        </w:r>
      </w:hyperlink>
      <w:r>
        <w:t xml:space="preserve">. These systems integrate knowledge graphs, ontologies, large language models (LLMs), simulation engines, optimization algorithms, and digital twins into cohesive architectures that enable organizations to make autonomous, adaptive, and context-aware decisions in real-time</w:t>
      </w:r>
      <w:r>
        <w:t xml:space="preserve"> </w:t>
      </w:r>
      <w:hyperlink w:anchor="ref-saiyam2025">
        <w:r>
          <w:rPr>
            <w:rStyle w:val="Hyperlink"/>
          </w:rPr>
          <w:t xml:space="preserve">[2]</w:t>
        </w:r>
      </w:hyperlink>
      <w:r>
        <w:t xml:space="preserve">. Unlike conventional data-driven enterprises that rely on human interpretation of analytics dashboards, continuously optimized AI-assisted enterprises leverage closed-loop feedback mechanisms where autonomous agents perceive environmental states, reason through complex decision scenarios, and execute operational changes with minimal human intervention</w:t>
      </w:r>
      <w:r>
        <w:t xml:space="preserve"> </w:t>
      </w:r>
      <w:hyperlink w:anchor="ref-umidjon2025">
        <w:r>
          <w:rPr>
            <w:rStyle w:val="Hyperlink"/>
          </w:rPr>
          <w:t xml:space="preserve">[3]</w:t>
        </w:r>
      </w:hyperlink>
      <w:r>
        <w:t xml:space="preserve">.</w:t>
      </w:r>
    </w:p>
    <w:p>
      <w:pPr>
        <w:pStyle w:val="BodyText"/>
      </w:pPr>
      <w:r>
        <w:t xml:space="preserve">The conceptual trajectory from data-driven enterprises to AI-assisted enterprises unfolds across three distinct organizational maturity phases. First, traditional data-driven enterprises accumulate voluminous heterogeneous data across operational, financial, and market domains, yet struggle to extract actionable insights due to data silos, limited semantic understanding, and significant latency between analysis and implementation</w:t>
      </w:r>
      <w:r>
        <w:t xml:space="preserve"> </w:t>
      </w:r>
      <w:hyperlink w:anchor="ref-sathish2025">
        <w:r>
          <w:rPr>
            <w:rStyle w:val="Hyperlink"/>
          </w:rPr>
          <w:t xml:space="preserve">[4]</w:t>
        </w:r>
      </w:hyperlink>
      <w:r>
        <w:t xml:space="preserve">. Second, AI-augmented enterprises deploy machine learning models and business intelligence platforms to accelerate insight generation, but these systems remain fundamentally reactive—they respond to historical patterns rather than anticipating future states or autonomously optimizing complex systems</w:t>
      </w:r>
      <w:r>
        <w:t xml:space="preserve"> </w:t>
      </w:r>
      <w:hyperlink w:anchor="ref-sarow2025">
        <w:r>
          <w:rPr>
            <w:rStyle w:val="Hyperlink"/>
          </w:rPr>
          <w:t xml:space="preserve">[5]</w:t>
        </w:r>
      </w:hyperlink>
      <w:r>
        <w:t xml:space="preserve">. Third, continuously optimized AI-assisted enterprises establish feedback loops where autonomous systems continuously learn from operational outcomes, refine decision policies, and optimize resource allocation in response to environmental changes</w:t>
      </w:r>
      <w:r>
        <w:t xml:space="preserve"> </w:t>
      </w:r>
      <w:hyperlink w:anchor="ref-hema2025">
        <w:r>
          <w:rPr>
            <w:rStyle w:val="Hyperlink"/>
          </w:rPr>
          <w:t xml:space="preserve">[6]</w:t>
        </w:r>
      </w:hyperlink>
      <w:r>
        <w:t xml:space="preserve">.</w:t>
      </w:r>
    </w:p>
    <w:p>
      <w:pPr>
        <w:pStyle w:val="BodyText"/>
      </w:pPr>
      <w:r>
        <w:t xml:space="preserve">The architectural foundation of AEDS rests on four critical technical pillars. Knowledge graphs and semantic ontologies provide explicit representations of domain concepts, relationships, and reasoning rules, enabling systems to maintain contextual understanding and support cross-domain inference</w:t>
      </w:r>
      <w:r>
        <w:t xml:space="preserve"> </w:t>
      </w:r>
      <w:hyperlink w:anchor="ref-mohd2025">
        <w:r>
          <w:rPr>
            <w:rStyle w:val="Hyperlink"/>
          </w:rPr>
          <w:t xml:space="preserve">[7]</w:t>
        </w:r>
      </w:hyperlink>
      <w:r>
        <w:t xml:space="preserve">. Large language models, particularly those augmented with retrieval-augmented generation (RAG) and fine-tuned for domain-specific reasoning, facilitate natural language interaction with complex systems and bridge the gap between human intent and machine execution</w:t>
      </w:r>
      <w:r>
        <w:t xml:space="preserve"> </w:t>
      </w:r>
      <w:hyperlink w:anchor="ref-rajeev2025">
        <w:r>
          <w:rPr>
            <w:rStyle w:val="Hyperlink"/>
          </w:rPr>
          <w:t xml:space="preserve">[8]</w:t>
        </w:r>
      </w:hyperlink>
      <w:r>
        <w:t xml:space="preserve">. Simulation and digital twin technologies create virtual replicas of physical and operational systems, enabling what-if scenario analysis, predictive maintenance, and risk assessment prior to real-world implementation</w:t>
      </w:r>
      <w:r>
        <w:t xml:space="preserve"> </w:t>
      </w:r>
      <w:hyperlink w:anchor="ref-ravindra2023">
        <w:r>
          <w:rPr>
            <w:rStyle w:val="Hyperlink"/>
          </w:rPr>
          <w:t xml:space="preserve">[9]</w:t>
        </w:r>
      </w:hyperlink>
      <w:r>
        <w:t xml:space="preserve">. Optimization engines, increasingly integrated with machine learning and reinforcement learning algorithms, solve multi-objective problems in real-time, balancing competing objectives such as cost, quality, time, and sustainability</w:t>
      </w:r>
      <w:r>
        <w:t xml:space="preserve"> </w:t>
      </w:r>
      <w:hyperlink w:anchor="ref-avadhut2025">
        <w:r>
          <w:rPr>
            <w:rStyle w:val="Hyperlink"/>
          </w:rPr>
          <w:t xml:space="preserve">[10]</w:t>
        </w:r>
      </w:hyperlink>
      <w:r>
        <w:t xml:space="preserve">.</w:t>
      </w:r>
    </w:p>
    <w:p>
      <w:r>
        <w:pict>
          <v:rect style="width:0;height:1.5pt" o:hralign="center" o:hrstd="t" o:hr="t"/>
        </w:pict>
      </w:r>
    </w:p>
    <w:p>
      <w:pPr>
        <w:pStyle w:val="Heading2"/>
      </w:pPr>
      <w:r>
        <w:rPr>
          <w:b/>
          <w:bCs/>
        </w:rPr>
        <w:t xml:space="preserve">II. Enabling Technologies and Architectural Integration</w:t>
      </w:r>
    </w:p>
    <w:p>
      <w:pPr>
        <w:pStyle w:val="Heading3"/>
      </w:pPr>
      <w:r>
        <w:rPr>
          <w:b/>
          <w:bCs/>
        </w:rPr>
        <w:t xml:space="preserve">A. Knowledge Graphs and Semantic Ontologies for Enterprise Intelligence</w:t>
      </w:r>
    </w:p>
    <w:p>
      <w:pPr>
        <w:pStyle w:val="FirstParagraph"/>
      </w:pPr>
      <w:r>
        <w:t xml:space="preserve">Knowledge graphs have emerged as critical infrastructure for transforming unstructured enterprise data into semantically enriched, machine-interpretable knowledge assets</w:t>
      </w:r>
      <w:r>
        <w:t xml:space="preserve"> </w:t>
      </w:r>
      <w:hyperlink w:anchor="ref-mohd2025">
        <w:r>
          <w:rPr>
            <w:rStyle w:val="Hyperlink"/>
          </w:rPr>
          <w:t xml:space="preserve">[7]</w:t>
        </w:r>
      </w:hyperlink>
      <w:r>
        <w:t xml:space="preserve">. Rather than storing data in isolated tables and documents, knowledge graphs model enterprises as complex networks of entities (products, customers, resources, processes) and explicitly capture relationships and attributes that would otherwise remain implicit</w:t>
      </w:r>
      <w:r>
        <w:t xml:space="preserve"> </w:t>
      </w:r>
      <w:hyperlink w:anchor="ref-sathish2025">
        <w:r>
          <w:rPr>
            <w:rStyle w:val="Hyperlink"/>
          </w:rPr>
          <w:t xml:space="preserve">[4]</w:t>
        </w:r>
      </w:hyperlink>
      <w:r>
        <w:t xml:space="preserve">. When combined with domain-specific ontologies—formal specifications of concept hierarchies and logical constraints—knowledge graphs enable systems to perform automated reasoning, detect hidden patterns, and support explainable decision-making.</w:t>
      </w:r>
    </w:p>
    <w:p>
      <w:pPr>
        <w:pStyle w:val="BodyText"/>
      </w:pPr>
      <w:r>
        <w:t xml:space="preserve">Enterprise implementations demonstrate substantial performance improvements through semantic integration. One integrated framework combining knowledge graphs with causal inference mechanisms achieved root-cause identification accuracy above 90% in quality management applications, compared to conventional statistical methods</w:t>
      </w:r>
      <w:r>
        <w:t xml:space="preserve"> </w:t>
      </w:r>
      <w:hyperlink w:anchor="ref-rodrigo2025">
        <w:r>
          <w:rPr>
            <w:rStyle w:val="Hyperlink"/>
          </w:rPr>
          <w:t xml:space="preserve">[11]</w:t>
        </w:r>
      </w:hyperlink>
      <w:r>
        <w:t xml:space="preserve">. In financial services, knowledge graph-based risk management systems achieved 35% improvement in efficiency in decision-making through identification of hidden risk propagation paths and early warning capabilities not detectable through traditional siloed risk assessments</w:t>
      </w:r>
      <w:r>
        <w:t xml:space="preserve"> </w:t>
      </w:r>
      <w:hyperlink w:anchor="ref-hongfei2025">
        <w:r>
          <w:rPr>
            <w:rStyle w:val="Hyperlink"/>
          </w:rPr>
          <w:t xml:space="preserve">[12]</w:t>
        </w:r>
      </w:hyperlink>
      <w:r>
        <w:t xml:space="preserve">. The scalability of knowledge graphs is demonstrated in multimodal enterprise environments, where fully automated construction frameworks now enable transformation of unstructured enterprise communications—emails, reports, meetings—into actionable knowledge representations</w:t>
      </w:r>
      <w:r>
        <w:t xml:space="preserve"> </w:t>
      </w:r>
      <w:hyperlink w:anchor="ref-ritvik2025">
        <w:r>
          <w:rPr>
            <w:rStyle w:val="Hyperlink"/>
          </w:rPr>
          <w:t xml:space="preserve">[13]</w:t>
        </w:r>
      </w:hyperlink>
      <w:r>
        <w:t xml:space="preserve">.</w:t>
      </w:r>
    </w:p>
    <w:p>
      <w:pPr>
        <w:pStyle w:val="BodyText"/>
      </w:pPr>
      <w:r>
        <w:t xml:space="preserve">However, knowledge graph adoption at enterprise scale faces persistent implementation challenges. Data quality degradation at integration boundaries, inconsistent entity disambiguation across source systems, and the computational overhead of large-scale graph traversal and reasoning represent significant barriers</w:t>
      </w:r>
      <w:r>
        <w:t xml:space="preserve"> </w:t>
      </w:r>
      <w:hyperlink w:anchor="ref-mohd2025">
        <w:r>
          <w:rPr>
            <w:rStyle w:val="Hyperlink"/>
          </w:rPr>
          <w:t xml:space="preserve">[7]</w:t>
        </w:r>
      </w:hyperlink>
      <w:r>
        <w:t xml:space="preserve">. Additionally, many organizations lack standardized methodologies for translating domain expertise into formal ontologies, creating bottlenecks in knowledge engineering that limit the breadth and depth of enterprise knowledge representation. Domain-contextualized concept graph architectures represent emerging solutions to these limitations, explicitly modeling domain context as a first-class reasoning component rather than implicit background context</w:t>
      </w:r>
      <w:r>
        <w:t xml:space="preserve"> </w:t>
      </w:r>
      <w:hyperlink w:anchor="ref-chao2025">
        <w:r>
          <w:rPr>
            <w:rStyle w:val="Hyperlink"/>
          </w:rPr>
          <w:t xml:space="preserve">[14]</w:t>
        </w:r>
      </w:hyperlink>
      <w:r>
        <w:t xml:space="preserve">.</w:t>
      </w:r>
    </w:p>
    <w:p>
      <w:pPr>
        <w:pStyle w:val="Heading3"/>
      </w:pPr>
      <w:r>
        <w:rPr>
          <w:b/>
          <w:bCs/>
        </w:rPr>
        <w:t xml:space="preserve">B. Large Language Models and Retrieval-Augmented Generation in Enterprise Decision Support</w:t>
      </w:r>
    </w:p>
    <w:p>
      <w:pPr>
        <w:pStyle w:val="FirstParagraph"/>
      </w:pPr>
      <w:r>
        <w:t xml:space="preserve">Large language models (LLMs) have fundamentally transformed enterprise decision support by enabling natural language interaction with complex business systems and reducing the cognitive burden of information synthesis</w:t>
      </w:r>
      <w:r>
        <w:t xml:space="preserve"> </w:t>
      </w:r>
      <w:hyperlink w:anchor="ref-rajeev2025">
        <w:r>
          <w:rPr>
            <w:rStyle w:val="Hyperlink"/>
          </w:rPr>
          <w:t xml:space="preserve">[8]</w:t>
        </w:r>
      </w:hyperlink>
      <w:r>
        <w:t xml:space="preserve">. Rather than requiring users to construct formal queries against relational databases or navigate complex dashboard interfaces, enterprise users can now articulate business questions in natural language, with LLM-powered systems responsible for translating intent into executable queries, retrieving relevant context, synthesizing information across multiple sources, and delivering interpretable explanations.</w:t>
      </w:r>
    </w:p>
    <w:p>
      <w:pPr>
        <w:pStyle w:val="BodyText"/>
      </w:pPr>
      <w:r>
        <w:t xml:space="preserve">Retrieval-augmented generation (RAG) architectures extend LLM capabilities by grounding language model outputs in enterprise knowledge bases, reducing hallucination while improving contextual accuracy</w:t>
      </w:r>
      <w:r>
        <w:t xml:space="preserve"> </w:t>
      </w:r>
      <w:hyperlink w:anchor="ref-sili2025">
        <w:r>
          <w:rPr>
            <w:rStyle w:val="Hyperlink"/>
          </w:rPr>
          <w:t xml:space="preserve">[15]</w:t>
        </w:r>
      </w:hyperlink>
      <w:r>
        <w:t xml:space="preserve">. In financial services, RAG-enhanced LLMs achieved 54% accuracy in question-answering tasks against enterprise SQL databases—a remarkable improvement from 16% accuracy using zero-shot LLM queries on raw databases</w:t>
      </w:r>
      <w:r>
        <w:t xml:space="preserve"> </w:t>
      </w:r>
      <w:hyperlink w:anchor="ref-juan2023">
        <w:r>
          <w:rPr>
            <w:rStyle w:val="Hyperlink"/>
          </w:rPr>
          <w:t xml:space="preserve">[16]</w:t>
        </w:r>
      </w:hyperlink>
      <w:r>
        <w:t xml:space="preserve">. In supply chain management, LLM-integrated frameworks democratized access to optimization tools by enabling natural language formulation of complex optimization problems that previously required specialized expertise, reducing the time to decision from weeks to minutes</w:t>
      </w:r>
      <w:r>
        <w:t xml:space="preserve"> </w:t>
      </w:r>
      <w:hyperlink w:anchor="ref-beibin2023">
        <w:r>
          <w:rPr>
            <w:rStyle w:val="Hyperlink"/>
          </w:rPr>
          <w:t xml:space="preserve">[17]</w:t>
        </w:r>
      </w:hyperlink>
      <w:r>
        <w:t xml:space="preserve">.</w:t>
      </w:r>
    </w:p>
    <w:p>
      <w:pPr>
        <w:pStyle w:val="BodyText"/>
      </w:pPr>
      <w:r>
        <w:t xml:space="preserve">LLM integration into optimization modeling represents a particularly high-impact capability. By combining LLMs' natural language understanding with formal optimization solvers, organizations now enable business planners and executives to formulate and solve complex decision problems without requiring deep optimization expertise</w:t>
      </w:r>
      <w:r>
        <w:t xml:space="preserve"> </w:t>
      </w:r>
      <w:hyperlink w:anchor="ref-s2025">
        <w:r>
          <w:rPr>
            <w:rStyle w:val="Hyperlink"/>
          </w:rPr>
          <w:t xml:space="preserve">[18]</w:t>
        </w:r>
      </w:hyperlink>
      <w:r>
        <w:t xml:space="preserve">. Systems like OptLLM accept queries in natural language (e.g., "minimize delivery costs while respecting sustainability constraints"), translate them into mathematical formulations, invoke optimization solvers, and provide structured results with explanations of trade-offs and sensitivity to key parameters</w:t>
      </w:r>
      <w:r>
        <w:t xml:space="preserve"> </w:t>
      </w:r>
      <w:hyperlink w:anchor="ref-jihai2024">
        <w:r>
          <w:rPr>
            <w:rStyle w:val="Hyperlink"/>
          </w:rPr>
          <w:t xml:space="preserve">[19]</w:t>
        </w:r>
      </w:hyperlink>
      <w:r>
        <w:t xml:space="preserve">. Advanced reinforcement learning techniques further improve reliability; solver-informed reinforcement learning approaches achieve state-of-the-art performance in generating executable, mathematically sound optimization models by using optimization solvers themselves as reward signals for reinforcement learning</w:t>
      </w:r>
      <w:r>
        <w:t xml:space="preserve"> </w:t>
      </w:r>
      <w:hyperlink w:anchor="ref-yitian2025">
        <w:r>
          <w:rPr>
            <w:rStyle w:val="Hyperlink"/>
          </w:rPr>
          <w:t xml:space="preserve">[20]</w:t>
        </w:r>
      </w:hyperlink>
      <w:r>
        <w:t xml:space="preserve">.</w:t>
      </w:r>
    </w:p>
    <w:p>
      <w:pPr>
        <w:pStyle w:val="BodyText"/>
      </w:pPr>
      <w:r>
        <w:t xml:space="preserve">Despite these advances, enterprise deployment of LLM-based decision support systems confronts significant challenges. LLM-specific risks—including probabilistic hallucination, stochastic behavior in edge cases, and inconsistent reasoning in high-dimensional spaces—remain inadequately mitigated</w:t>
      </w:r>
      <w:r>
        <w:t xml:space="preserve"> </w:t>
      </w:r>
      <w:hyperlink w:anchor="ref-fengyuan2025">
        <w:r>
          <w:rPr>
            <w:rStyle w:val="Hyperlink"/>
          </w:rPr>
          <w:t xml:space="preserve">[21]</w:t>
        </w:r>
      </w:hyperlink>
      <w:r>
        <w:t xml:space="preserve">. Domain adaptation requires extensive fine-tuning and institutional knowledge incorporation; off-the-shelf LLMs trained on general corpora often perform poorly in specialized enterprise contexts without significant domain-specific training investment. Additionally, the opacity of LLM reasoning and the difficulty of incorporating hard constraints (regulatory requirements, safety boundaries) represent persistent limitations for mission-critical applications</w:t>
      </w:r>
      <w:r>
        <w:t xml:space="preserve"> </w:t>
      </w:r>
      <w:hyperlink w:anchor="ref-john2025">
        <w:r>
          <w:rPr>
            <w:rStyle w:val="Hyperlink"/>
          </w:rPr>
          <w:t xml:space="preserve">[22]</w:t>
        </w:r>
      </w:hyperlink>
      <w:r>
        <w:t xml:space="preserve">.</w:t>
      </w:r>
    </w:p>
    <w:p>
      <w:pPr>
        <w:pStyle w:val="Heading3"/>
      </w:pPr>
      <w:r>
        <w:rPr>
          <w:b/>
          <w:bCs/>
        </w:rPr>
        <w:t xml:space="preserve">C. Digital Twins and Simulation-Driven Optimization</w:t>
      </w:r>
    </w:p>
    <w:p>
      <w:pPr>
        <w:pStyle w:val="FirstParagraph"/>
      </w:pPr>
      <w:r>
        <w:t xml:space="preserve">Digital twins—virtual replicas of physical systems that are continuously synchronized with real-time operational data—have evolved from design tools into autonomous decision support infrastructure</w:t>
      </w:r>
      <w:r>
        <w:t xml:space="preserve"> </w:t>
      </w:r>
      <w:hyperlink w:anchor="ref-sarow2025">
        <w:r>
          <w:rPr>
            <w:rStyle w:val="Hyperlink"/>
          </w:rPr>
          <w:t xml:space="preserve">[5]</w:t>
        </w:r>
      </w:hyperlink>
      <w:r>
        <w:t xml:space="preserve">. Enterprises now deploy digital twins not merely to visualize operational state, but to conduct rapid scenario analysis, predict maintenance requirements, optimize resource allocation, and assess risk under hypothetical conditions</w:t>
      </w:r>
      <w:r>
        <w:t xml:space="preserve"> </w:t>
      </w:r>
      <w:hyperlink w:anchor="ref-ravindra2023">
        <w:r>
          <w:rPr>
            <w:rStyle w:val="Hyperlink"/>
          </w:rPr>
          <w:t xml:space="preserve">[9]</w:t>
        </w:r>
      </w:hyperlink>
      <w:r>
        <w:t xml:space="preserve">.</w:t>
      </w:r>
    </w:p>
    <w:p>
      <w:pPr>
        <w:pStyle w:val="BodyText"/>
      </w:pPr>
      <w:r>
        <w:t xml:space="preserve">Advanced digital twin architectures integrate multiple synergistic technologies. Multi-objective Bayesian optimization enables "inverse inference" capabilities, where organizations specify desired performance targets and digital twins identify the operational policies required to achieve them</w:t>
      </w:r>
      <w:r>
        <w:t xml:space="preserve"> </w:t>
      </w:r>
      <w:hyperlink w:anchor="ref-avadhut2025">
        <w:r>
          <w:rPr>
            <w:rStyle w:val="Hyperlink"/>
          </w:rPr>
          <w:t xml:space="preserve">[10]</w:t>
        </w:r>
      </w:hyperlink>
      <w:r>
        <w:t xml:space="preserve">. This capability is particularly valuable in logistics and manufacturing, where digital twins have driven 2.1-day reduction in average delivery time, 12 percentage point improvement in on-time delivery rates, and nearly 20% cost reduction while simultaneously enhancing robustness to disruptions</w:t>
      </w:r>
      <w:r>
        <w:t xml:space="preserve"> </w:t>
      </w:r>
      <w:hyperlink w:anchor="ref-shanshan2025">
        <w:r>
          <w:rPr>
            <w:rStyle w:val="Hyperlink"/>
          </w:rPr>
          <w:t xml:space="preserve">[23]</w:t>
        </w:r>
      </w:hyperlink>
      <w:r>
        <w:t xml:space="preserve">.</w:t>
      </w:r>
    </w:p>
    <w:p>
      <w:pPr>
        <w:pStyle w:val="BodyText"/>
      </w:pPr>
      <w:r>
        <w:t xml:space="preserve">AI-driven digital twins integrate deep reinforcement learning to enable autonomous optimization within simulation environments. Manufacturing systems employing digital twins with embedded DRL agents achieve superior performance in predictive maintenance, process optimization, and quality control compared to traditional rule-based systems</w:t>
      </w:r>
      <w:r>
        <w:t xml:space="preserve"> </w:t>
      </w:r>
      <w:hyperlink w:anchor="ref-phat2025">
        <w:r>
          <w:rPr>
            <w:rStyle w:val="Hyperlink"/>
          </w:rPr>
          <w:t xml:space="preserve">[24]</w:t>
        </w:r>
      </w:hyperlink>
      <w:r>
        <w:t xml:space="preserve">. Healthcare supply chain systems using digital twins with simulation-optimization frameworks demonstrate capacity to balance service levels, operational costs, and carbon efficiency simultaneously, adapting dynamically to evolving demand and disruption scenarios</w:t>
      </w:r>
      <w:r>
        <w:t xml:space="preserve"> </w:t>
      </w:r>
      <w:hyperlink w:anchor="ref-kannan2025">
        <w:r>
          <w:rPr>
            <w:rStyle w:val="Hyperlink"/>
          </w:rPr>
          <w:t xml:space="preserve">[25]</w:t>
        </w:r>
      </w:hyperlink>
      <w:r>
        <w:t xml:space="preserve">.</w:t>
      </w:r>
    </w:p>
    <w:p>
      <w:pPr>
        <w:pStyle w:val="BodyText"/>
      </w:pPr>
      <w:r>
        <w:t xml:space="preserve">Integration challenges persist at scale. Digital twin implementations require high-fidelity real-time data from operational systems, integration with enterprise resource planning platforms, and continuous model validation to maintain alignment between virtual and physical systems</w:t>
      </w:r>
      <w:r>
        <w:t xml:space="preserve"> </w:t>
      </w:r>
      <w:hyperlink w:anchor="ref-sarow2025">
        <w:r>
          <w:rPr>
            <w:rStyle w:val="Hyperlink"/>
          </w:rPr>
          <w:t xml:space="preserve">[5]</w:t>
        </w:r>
      </w:hyperlink>
      <w:r>
        <w:t xml:space="preserve">. Many organizations struggle with data quality issues, inadequate sensor infrastructure, and difficulty in formulating optimization objectives that reflect complex organizational trade-offs. The computational overhead of high-fidelity simulation remains substantial, particularly for organizations seeking real-time closed-loop optimization across complex, multi-scale systems.</w:t>
      </w:r>
    </w:p>
    <w:p>
      <w:pPr>
        <w:pStyle w:val="Heading3"/>
      </w:pPr>
      <w:r>
        <w:rPr>
          <w:b/>
          <w:bCs/>
        </w:rPr>
        <w:t xml:space="preserve">D. Reinforcement Learning for Autonomous Adaptation and Continuous Improvement</w:t>
      </w:r>
    </w:p>
    <w:p>
      <w:pPr>
        <w:pStyle w:val="FirstParagraph"/>
      </w:pPr>
      <w:r>
        <w:t xml:space="preserve">Reinforcement learning (RL) has emerged as the primary methodology for enabling autonomous systems to learn optimal decision policies through continuous environmental interaction</w:t>
      </w:r>
      <w:r>
        <w:t xml:space="preserve"> </w:t>
      </w:r>
      <w:hyperlink w:anchor="ref-thadisina2026">
        <w:r>
          <w:rPr>
            <w:rStyle w:val="Hyperlink"/>
          </w:rPr>
          <w:t xml:space="preserve">[26]</w:t>
        </w:r>
      </w:hyperlink>
      <w:r>
        <w:t xml:space="preserve">. Unlike supervised learning, which requires pre-labeled training data, RL enables agents to discover effective strategies through experimentation and feedback—critically important in enterprise contexts where optimal decisions depend on dynamic, incompletely understood environments</w:t>
      </w:r>
      <w:r>
        <w:t xml:space="preserve"> </w:t>
      </w:r>
      <w:hyperlink w:anchor="ref-doma2026">
        <w:r>
          <w:rPr>
            <w:rStyle w:val="Hyperlink"/>
          </w:rPr>
          <w:t xml:space="preserve">[27]</w:t>
        </w:r>
      </w:hyperlink>
      <w:r>
        <w:t xml:space="preserve">.</w:t>
      </w:r>
    </w:p>
    <w:p>
      <w:pPr>
        <w:pStyle w:val="BodyText"/>
      </w:pPr>
      <w:r>
        <w:t xml:space="preserve">Enterprise implementations of RL-based autonomous systems demonstrate compelling performance improvements. Supply chain systems using multi-objective reinforcement learning simultaneously optimize service levels, operational costs, and carbon efficiency, adapting dynamically to demand variations and disruption scenarios</w:t>
      </w:r>
      <w:r>
        <w:t xml:space="preserve"> </w:t>
      </w:r>
      <w:hyperlink w:anchor="ref-kannan2025">
        <w:r>
          <w:rPr>
            <w:rStyle w:val="Hyperlink"/>
          </w:rPr>
          <w:t xml:space="preserve">[25]</w:t>
        </w:r>
      </w:hyperlink>
      <w:r>
        <w:t xml:space="preserve">. Traffic optimization systems combining transformer-based deep learning with rule-based reasoning and RL achieve 15% better accuracy, 30% lower computational overhead, and improved resilience to anomalies compared to conventional deep reinforcement learning approaches</w:t>
      </w:r>
      <w:r>
        <w:t xml:space="preserve"> </w:t>
      </w:r>
      <w:hyperlink w:anchor="ref-doma2026">
        <w:r>
          <w:rPr>
            <w:rStyle w:val="Hyperlink"/>
          </w:rPr>
          <w:t xml:space="preserve">[27]</w:t>
        </w:r>
      </w:hyperlink>
      <w:r>
        <w:t xml:space="preserve">. Autonomous cloud optimization leveraging RL-based decision frameworks achieve adaptive resource allocation that responds to workload variations, pricing fluctuations, and performance constraints</w:t>
      </w:r>
      <w:r>
        <w:t xml:space="preserve"> </w:t>
      </w:r>
      <w:hyperlink w:anchor="ref-prasanna2024">
        <w:r>
          <w:rPr>
            <w:rStyle w:val="Hyperlink"/>
          </w:rPr>
          <w:t xml:space="preserve">[28]</w:t>
        </w:r>
      </w:hyperlink>
      <w:r>
        <w:t xml:space="preserve">.</w:t>
      </w:r>
    </w:p>
    <w:p>
      <w:pPr>
        <w:pStyle w:val="BodyText"/>
      </w:pPr>
      <w:r>
        <w:t xml:space="preserve">Hierarchical reinforcement learning architectures prove particularly effective for complex, multi-scale enterprise decision problems. By decomposing decisions into strategic, tactical, and technical levels, hierarchical systems enable organizations to balance long-term strategic objectives with real-time operational optimization</w:t>
      </w:r>
      <w:r>
        <w:t xml:space="preserve"> </w:t>
      </w:r>
      <w:hyperlink w:anchor="ref-kai2026">
        <w:r>
          <w:rPr>
            <w:rStyle w:val="Hyperlink"/>
          </w:rPr>
          <w:t xml:space="preserve">[29]</w:t>
        </w:r>
      </w:hyperlink>
      <w:r>
        <w:t xml:space="preserve">. Closed-loop feedback mechanisms where agents dynamically adjust decision policies based on operational outcomes enable continuous improvement without human intervention</w:t>
      </w:r>
      <w:r>
        <w:t xml:space="preserve"> </w:t>
      </w:r>
      <w:hyperlink w:anchor="ref-prasanna2024a">
        <w:r>
          <w:rPr>
            <w:rStyle w:val="Hyperlink"/>
          </w:rPr>
          <w:t xml:space="preserve">[30]</w:t>
        </w:r>
      </w:hyperlink>
      <w:r>
        <w:t xml:space="preserve">.</w:t>
      </w:r>
    </w:p>
    <w:p>
      <w:pPr>
        <w:pStyle w:val="BodyText"/>
      </w:pPr>
      <w:r>
        <w:t xml:space="preserve">Challenges in enterprise RL deployment remain significant. The "exploration-exploitation trade-off"—balancing the need to discover new, potentially superior strategies against the risk of degrading current performance—creates practical constraints in high-stakes domains such as financial services and critical infrastructure. Sample efficiency remains problematic; many RL algorithms require millions of interactions to converge to optimal policies, infeasible in environments where each interaction carries significant cost or risk. Additionally, the "reward specification problem"—how to quantify complex organizational objectives like customer satisfaction, regulatory compliance, and employee engagement—remains inadequately addressed</w:t>
      </w:r>
      <w:r>
        <w:t xml:space="preserve"> </w:t>
      </w:r>
      <w:hyperlink w:anchor="ref-thadisina2026">
        <w:r>
          <w:rPr>
            <w:rStyle w:val="Hyperlink"/>
          </w:rPr>
          <w:t xml:space="preserve">[26]</w:t>
        </w:r>
      </w:hyperlink>
      <w:r>
        <w:t xml:space="preserve">.</w:t>
      </w:r>
    </w:p>
    <w:p>
      <w:r>
        <w:pict>
          <v:rect style="width:0;height:1.5pt" o:hralign="center" o:hrstd="t" o:hr="t"/>
        </w:pict>
      </w:r>
    </w:p>
    <w:p>
      <w:pPr>
        <w:pStyle w:val="Heading2"/>
      </w:pPr>
      <w:r>
        <w:rPr>
          <w:b/>
          <w:bCs/>
        </w:rPr>
        <w:t xml:space="preserve">III. Conceptual Evolution: From Data-Driven to Continuously Optimized Enterprises</w:t>
      </w:r>
    </w:p>
    <w:p>
      <w:pPr>
        <w:pStyle w:val="Heading3"/>
      </w:pPr>
      <w:r>
        <w:rPr>
          <w:b/>
          <w:bCs/>
        </w:rPr>
        <w:t xml:space="preserve">A. Maturity Model and Organizational Transformation Phases</w:t>
      </w:r>
    </w:p>
    <w:p>
      <w:pPr>
        <w:pStyle w:val="FirstParagraph"/>
      </w:pPr>
      <w:r>
        <w:t xml:space="preserve">The transition from traditional data-driven enterprises to continuously optimized AI-assisted enterprises unfolds across distinct organizational maturity phases, each characterized by progressively greater autonomy, adaptation capability, and closed-loop feedback integration</w:t>
      </w:r>
      <w:r>
        <w:t xml:space="preserve"> </w:t>
      </w:r>
      <w:hyperlink w:anchor="ref-hema2025">
        <w:r>
          <w:rPr>
            <w:rStyle w:val="Hyperlink"/>
          </w:rPr>
          <w:t xml:space="preserve">[6]</w:t>
        </w:r>
      </w:hyperlink>
      <w:r>
        <w:t xml:space="preserve">.</w:t>
      </w:r>
    </w:p>
    <w:p>
      <w:pPr>
        <w:pStyle w:val="BodyText"/>
      </w:pPr>
      <w:r>
        <w:rPr>
          <w:b/>
          <w:bCs/>
        </w:rPr>
        <w:t xml:space="preserve">Phase 1: Data-Driven Enterprises</w:t>
      </w:r>
      <w:r>
        <w:t xml:space="preserve"> </w:t>
      </w:r>
      <w:r>
        <w:t xml:space="preserve">are characterized by large-scale data collection and analytics infrastructure deployed to support human decision-making. Dashboards provide historical analysis of business performance, business intelligence platforms aggregate disparate data sources, and analytics teams extract insights through exploratory analysis. Decision-making remains fundamentally human-centric; insights flow from analytics teams to business leaders who interpret findings and make strategic choices. The time lag between data generation and actionable insight often spans days to weeks. These enterprises achieve measurable performance improvements through better-informed human decisions, but are structurally limited by human cognitive capacity, cognitive biases in interpretation, and inability to optimize dynamically across multiple competing objectives in real-time</w:t>
      </w:r>
      <w:r>
        <w:t xml:space="preserve"> </w:t>
      </w:r>
      <w:hyperlink w:anchor="ref-umidjon2025">
        <w:r>
          <w:rPr>
            <w:rStyle w:val="Hyperlink"/>
          </w:rPr>
          <w:t xml:space="preserve">[3]</w:t>
        </w:r>
      </w:hyperlink>
      <w:r>
        <w:t xml:space="preserve">.</w:t>
      </w:r>
    </w:p>
    <w:p>
      <w:pPr>
        <w:pStyle w:val="BodyText"/>
      </w:pPr>
      <w:r>
        <w:rPr>
          <w:b/>
          <w:bCs/>
        </w:rPr>
        <w:t xml:space="preserve">Phase 2: AI-Augmented Enterprises</w:t>
      </w:r>
      <w:r>
        <w:t xml:space="preserve"> </w:t>
      </w:r>
      <w:r>
        <w:t xml:space="preserve">deploy machine learning models, predictive analytics platforms, and business intelligence systems to accelerate insight generation. Predictive models forecast demand, identify fraud, optimize pricing, and detect anomalies. Robotic process automation orchestrates structured workflows. Decision support systems provide recommendations to human decision-makers, who retain ultimate authority over strategic choices. The time lag between data and action compresses to hours. However, these systems remain fundamentally reactive—they respond to observed patterns in historical data rather than anticipating future states or proactively optimizing system performance. Organizational change management becomes more challenging as strategic decisions increasingly depend on complex algorithmic systems that business leaders struggle to fully understand or trust</w:t>
      </w:r>
      <w:r>
        <w:t xml:space="preserve"> </w:t>
      </w:r>
      <w:hyperlink w:anchor="ref-prasanna2024a">
        <w:r>
          <w:rPr>
            <w:rStyle w:val="Hyperlink"/>
          </w:rPr>
          <w:t xml:space="preserve">[30]</w:t>
        </w:r>
      </w:hyperlink>
      <w:r>
        <w:t xml:space="preserve">.</w:t>
      </w:r>
    </w:p>
    <w:p>
      <w:pPr>
        <w:pStyle w:val="BodyText"/>
      </w:pPr>
      <w:r>
        <w:rPr>
          <w:b/>
          <w:bCs/>
        </w:rPr>
        <w:t xml:space="preserve">Phase 3: Continuously Optimized AI-Assisted Enterprises</w:t>
      </w:r>
      <w:r>
        <w:t xml:space="preserve"> </w:t>
      </w:r>
      <w:r>
        <w:t xml:space="preserve">establish closed-loop feedback mechanisms where autonomous systems perceive environmental states, reason through complex decision scenarios, optimize across multiple objectives, execute operational changes, and learn from outcomes to improve future decision policies—all without human intervention until system performance degrades or objectives change</w:t>
      </w:r>
      <w:r>
        <w:t xml:space="preserve"> </w:t>
      </w:r>
      <w:hyperlink w:anchor="ref-hema2025">
        <w:r>
          <w:rPr>
            <w:rStyle w:val="Hyperlink"/>
          </w:rPr>
          <w:t xml:space="preserve">[6]</w:t>
        </w:r>
      </w:hyperlink>
      <w:r>
        <w:t xml:space="preserve">. These enterprises employ agentic AI systems capable of multi-step reasoning, tool utilization, and adaptive behavior modification. Real-time decision-making becomes possible; optimization occurs continuously rather than in periodic planning cycles. Organizations achieve dynamic responsiveness to market changes, disruption events, and customer needs at scales and speeds unattainable through human decision-making.</w:t>
      </w:r>
    </w:p>
    <w:p>
      <w:pPr>
        <w:pStyle w:val="BodyText"/>
      </w:pPr>
      <w:r>
        <w:t xml:space="preserve">The organizational requirements for successful transition through these phases are substantial. Phase 1→2 transition requires investment in data infrastructure, analytics talent, and organizational change to accept algorithmic recommendations. Phase 2→3 transition requires not merely technological implementation, but fundamental restructuring of governance models, accountability mechanisms, and trust frameworks. Organizations must establish autonomous systems governance councils, develop explainability and auditability mechanisms that satisfy regulatory requirements, and foster organizational cultures where autonomous systems are trusted partners in strategic decision-making rather than black-box threats to human employment and authority.</w:t>
      </w:r>
    </w:p>
    <w:p>
      <w:pPr>
        <w:pStyle w:val="Heading3"/>
      </w:pPr>
      <w:r>
        <w:rPr>
          <w:b/>
          <w:bCs/>
        </w:rPr>
        <w:t xml:space="preserve">B. Feedback Loop Architecture and Self-Improving Systems</w:t>
      </w:r>
    </w:p>
    <w:p>
      <w:pPr>
        <w:pStyle w:val="FirstParagraph"/>
      </w:pPr>
      <w:r>
        <w:t xml:space="preserve">The core distinguishing characteristic of continuously optimized enterprises is the implementation of explicit, closed-loop feedback mechanisms where system outputs continuously inform model refinement</w:t>
      </w:r>
      <w:r>
        <w:t xml:space="preserve"> </w:t>
      </w:r>
      <w:hyperlink w:anchor="ref-hema2025">
        <w:r>
          <w:rPr>
            <w:rStyle w:val="Hyperlink"/>
          </w:rPr>
          <w:t xml:space="preserve">[6]</w:t>
        </w:r>
      </w:hyperlink>
      <w:r>
        <w:t xml:space="preserve">. Rather than treating models as static artifacts deployed once and then monitored passively, closed-loop systems implement continuous learning where agent decisions, environmental responses, and outcomes are captured, analyzed, and used to refine decision policies in real-time</w:t>
      </w:r>
      <w:r>
        <w:t xml:space="preserve"> </w:t>
      </w:r>
      <w:hyperlink w:anchor="ref-prasanna2024a">
        <w:r>
          <w:rPr>
            <w:rStyle w:val="Hyperlink"/>
          </w:rPr>
          <w:t xml:space="preserve">[30]</w:t>
        </w:r>
      </w:hyperlink>
      <w:r>
        <w:t xml:space="preserve">.</w:t>
      </w:r>
    </w:p>
    <w:p>
      <w:pPr>
        <w:pStyle w:val="BodyText"/>
      </w:pPr>
      <w:r>
        <w:t xml:space="preserve">Multi-agent frameworks enable sophisticated feedback loop architectures. Orchestrating agents perceive enterprise state through sensors and data streams, coordinate specialized agents responsible for forecasting, risk assessment, and resource optimization, supervise execution of decisions through enterprise systems, and continuously assess performance against established objectives and constraints</w:t>
      </w:r>
      <w:r>
        <w:t xml:space="preserve"> </w:t>
      </w:r>
      <w:hyperlink w:anchor="ref-haowen2025">
        <w:r>
          <w:rPr>
            <w:rStyle w:val="Hyperlink"/>
          </w:rPr>
          <w:t xml:space="preserve">[31]</w:t>
        </w:r>
      </w:hyperlink>
      <w:r>
        <w:t xml:space="preserve">. Learning agents capture outcomes of each decision episode, extract causal insights about which decision factors drive which outcomes, and refine decision policies to improve performance on future iterations. Governance agents monitor for drift, constraint violations, and ethical concerns, triggering human oversight when autonomous systems approach decision boundaries that require human judgment</w:t>
      </w:r>
      <w:r>
        <w:t xml:space="preserve"> </w:t>
      </w:r>
      <w:hyperlink w:anchor="ref-ramanagiri2026">
        <w:r>
          <w:rPr>
            <w:rStyle w:val="Hyperlink"/>
          </w:rPr>
          <w:t xml:space="preserve">[32]</w:t>
        </w:r>
      </w:hyperlink>
      <w:r>
        <w:t xml:space="preserve">.</w:t>
      </w:r>
    </w:p>
    <w:p>
      <w:pPr>
        <w:pStyle w:val="BodyText"/>
      </w:pPr>
      <w:r>
        <w:t xml:space="preserve">Real-time adaptation mechanisms enable enterprises to respond to environmental changes faster than traditional planning cycles allow. Demand sensing systems using advanced time series models (LSTM, temporal convolutional networks, transformer-based predictors) combined with adaptive reinforcement learning achieve rapid recalibration when demand patterns shift unexpectedly</w:t>
      </w:r>
      <w:r>
        <w:t xml:space="preserve"> </w:t>
      </w:r>
      <w:hyperlink w:anchor="ref-kannan2025">
        <w:r>
          <w:rPr>
            <w:rStyle w:val="Hyperlink"/>
          </w:rPr>
          <w:t xml:space="preserve">[25]</w:t>
        </w:r>
      </w:hyperlink>
      <w:r>
        <w:t xml:space="preserve">. Edge-cloud orchestration architectures minimize inference latency by distributing decision-making across edge devices (near data sources) and cloud infrastructure (where complex multi-system optimization occurs), enabling response times measured in milliseconds rather than seconds</w:t>
      </w:r>
      <w:r>
        <w:t xml:space="preserve"> </w:t>
      </w:r>
      <w:hyperlink w:anchor="ref-haowen2025">
        <w:r>
          <w:rPr>
            <w:rStyle w:val="Hyperlink"/>
          </w:rPr>
          <w:t xml:space="preserve">[31]</w:t>
        </w:r>
      </w:hyperlink>
      <w:r>
        <w:t xml:space="preserve">.</w:t>
      </w:r>
    </w:p>
    <w:p>
      <w:pPr>
        <w:pStyle w:val="BodyText"/>
      </w:pPr>
      <w:r>
        <w:t xml:space="preserve">However, closed-loop feedback systems introduce new challenges. Model drift—where patterns learned during training diverge from operational reality—can cause decision quality to degrade without detection if monitoring mechanisms are inadequate</w:t>
      </w:r>
      <w:r>
        <w:t xml:space="preserve"> </w:t>
      </w:r>
      <w:hyperlink w:anchor="ref-enlu2024">
        <w:r>
          <w:rPr>
            <w:rStyle w:val="Hyperlink"/>
          </w:rPr>
          <w:t xml:space="preserve">[33]</w:t>
        </w:r>
      </w:hyperlink>
      <w:r>
        <w:t xml:space="preserve">. Feedback loops can amplify biases; if a model learns from historical decisions made by biased humans, it may perpetuate or amplify those biases through subsequent autonomous decisions. Additionally, the stability of closed-loop systems is not guaranteed; naive feedback mechanisms can oscillate or diverge, causing system instability. Advanced control theory approaches—including proportional-integral-derivative (PID) control principles adapted for AI systems and stability-aware optimization—help address these challenges, but require sophisticated system design</w:t>
      </w:r>
      <w:r>
        <w:t xml:space="preserve"> </w:t>
      </w:r>
      <w:hyperlink w:anchor="ref-prasanna2024">
        <w:r>
          <w:rPr>
            <w:rStyle w:val="Hyperlink"/>
          </w:rPr>
          <w:t xml:space="preserve">[28]</w:t>
        </w:r>
      </w:hyperlink>
      <w:r>
        <w:t xml:space="preserve">.</w:t>
      </w:r>
    </w:p>
    <w:p>
      <w:r>
        <w:pict>
          <v:rect style="width:0;height:1.5pt" o:hralign="center" o:hrstd="t" o:hr="t"/>
        </w:pict>
      </w:r>
    </w:p>
    <w:p>
      <w:pPr>
        <w:pStyle w:val="Heading2"/>
      </w:pPr>
      <w:r>
        <w:rPr>
          <w:b/>
          <w:bCs/>
        </w:rPr>
        <w:t xml:space="preserve">IV. Integration Challenges: Achieving Semantic Interoperability Across Enterprise Systems</w:t>
      </w:r>
    </w:p>
    <w:p>
      <w:pPr>
        <w:pStyle w:val="Heading3"/>
      </w:pPr>
      <w:r>
        <w:rPr>
          <w:b/>
          <w:bCs/>
        </w:rPr>
        <w:t xml:space="preserve">A. Data Integration and Semantic Standardization</w:t>
      </w:r>
    </w:p>
    <w:p>
      <w:pPr>
        <w:pStyle w:val="FirstParagraph"/>
      </w:pPr>
      <w:r>
        <w:t xml:space="preserve">Autonomous enterprise decision systems depend critically on seamless integration of heterogeneous data sources across operational, transactional, and analytical systems. Most enterprises operate complex technology landscapes comprising enterprise resource planning systems, customer relationship management platforms, supply chain management systems, financial systems, human resources platforms, and numerous specialized domain systems—each with distinct data models, semantic representations, and temporal synchronization challenges</w:t>
      </w:r>
      <w:r>
        <w:t xml:space="preserve"> </w:t>
      </w:r>
      <w:hyperlink w:anchor="ref-muppidi2024">
        <w:r>
          <w:rPr>
            <w:rStyle w:val="Hyperlink"/>
          </w:rPr>
          <w:t xml:space="preserve">[34]</w:t>
        </w:r>
      </w:hyperlink>
      <w:r>
        <w:t xml:space="preserve">.</w:t>
      </w:r>
    </w:p>
    <w:p>
      <w:pPr>
        <w:pStyle w:val="BodyText"/>
      </w:pPr>
      <w:r>
        <w:t xml:space="preserve">Semantic integration at enterprise scale requires establishing canonical data models and ontology mappings that translate between diverse system representations. Fast Healthcare Interoperability Resources (FHIR) standards in healthcare demonstrate the value of standardized semantic models; organizations implementing FHIR-aligned data architectures achieve measurable improvements in data accessibility, integration efficiency, and analytical capability</w:t>
      </w:r>
      <w:r>
        <w:t xml:space="preserve"> </w:t>
      </w:r>
      <w:hyperlink w:anchor="ref-olivier2026">
        <w:r>
          <w:rPr>
            <w:rStyle w:val="Hyperlink"/>
          </w:rPr>
          <w:t xml:space="preserve">[35]</w:t>
        </w:r>
      </w:hyperlink>
      <w:r>
        <w:t xml:space="preserve">. However, FHIR implementation is narrow in scope and primarily addresses clinical data; broader enterprise semantic frameworks remain immature.</w:t>
      </w:r>
    </w:p>
    <w:p>
      <w:pPr>
        <w:pStyle w:val="BodyText"/>
      </w:pPr>
      <w:r>
        <w:t xml:space="preserve">Machine learning approaches to semantic integration show promise but require careful implementation. Named entity recognition models can automatically identify semantically equivalent entities across systems (e.g., recognizing that "customer ID 12345" in system A and "account number 67890" in system B refer to the same customer). However, these approaches require sufficient training data and struggle with domain-specific terminology. Federated learning approaches enable organizations to train semantic integration models across multiple enterprises without requiring data sharing</w:t>
      </w:r>
      <w:r>
        <w:t xml:space="preserve"> </w:t>
      </w:r>
      <w:hyperlink w:anchor="ref-amlie2025">
        <w:r>
          <w:rPr>
            <w:rStyle w:val="Hyperlink"/>
          </w:rPr>
          <w:t xml:space="preserve">[36]</w:t>
        </w:r>
      </w:hyperlink>
      <w:r>
        <w:t xml:space="preserve">.</w:t>
      </w:r>
    </w:p>
    <w:p>
      <w:pPr>
        <w:pStyle w:val="BodyText"/>
      </w:pPr>
      <w:r>
        <w:t xml:space="preserve">Metadata-driven governance architectures provide organizational structure for managing semantic complexity. Rather than embedding semantic mappings in code, enterprises increasingly employ metadata catalogs and data catalogs that explicitly document data definitions, lineage, quality metrics, and governance policies</w:t>
      </w:r>
      <w:r>
        <w:t xml:space="preserve"> </w:t>
      </w:r>
      <w:hyperlink w:anchor="ref-muppidi2024">
        <w:r>
          <w:rPr>
            <w:rStyle w:val="Hyperlink"/>
          </w:rPr>
          <w:t xml:space="preserve">[34]</w:t>
        </w:r>
      </w:hyperlink>
      <w:r>
        <w:t xml:space="preserve">. AI-augmented metadata management systems automatically discover and catalog data assets, suggest semantic mappings, and flag quality issues—dramatically reducing the manual effort required for semantic integration</w:t>
      </w:r>
      <w:r>
        <w:t xml:space="preserve"> </w:t>
      </w:r>
      <w:hyperlink w:anchor="ref-behrouz2025">
        <w:r>
          <w:rPr>
            <w:rStyle w:val="Hyperlink"/>
          </w:rPr>
          <w:t xml:space="preserve">[37]</w:t>
        </w:r>
      </w:hyperlink>
      <w:r>
        <w:t xml:space="preserve">.</w:t>
      </w:r>
    </w:p>
    <w:p>
      <w:pPr>
        <w:pStyle w:val="Heading3"/>
      </w:pPr>
      <w:r>
        <w:rPr>
          <w:b/>
          <w:bCs/>
        </w:rPr>
        <w:t xml:space="preserve">B. Interoperability Standards and Governance Frameworks</w:t>
      </w:r>
    </w:p>
    <w:p>
      <w:pPr>
        <w:pStyle w:val="FirstParagraph"/>
      </w:pPr>
      <w:r>
        <w:t xml:space="preserve">Enterprise interoperability depends not merely on technical standards, but on governance frameworks that ensure consistent implementation and evolution of standards across organizational boundaries</w:t>
      </w:r>
      <w:r>
        <w:t xml:space="preserve"> </w:t>
      </w:r>
      <w:hyperlink w:anchor="ref-b2026">
        <w:r>
          <w:rPr>
            <w:rStyle w:val="Hyperlink"/>
          </w:rPr>
          <w:t xml:space="preserve">[38]</w:t>
        </w:r>
      </w:hyperlink>
      <w:r>
        <w:t xml:space="preserve">. European Union regulatory frameworks (including the AI Act, GDPR, and emerging digital governance directives) increasingly mandate standardized approaches to data handling, consent management, and algorithmic governance. Organizations operating across multiple jurisdictions must navigate heterogeneous regulatory landscapes, where compliance requirements diverge significantly across regions.</w:t>
      </w:r>
    </w:p>
    <w:p>
      <w:pPr>
        <w:pStyle w:val="BodyText"/>
      </w:pPr>
      <w:r>
        <w:t xml:space="preserve">Standards development organizations have responded by accelerating standards development across multiple domains. ISO/IEC standards for AI governance (42001), data quality (25012), and IoT semantic interoperability (21823-3) provide technical specifications. NIST AI Risk Management Framework, while primarily focused on U.S. context, provides structured approaches to AI governance that are increasingly adopted globally</w:t>
      </w:r>
      <w:r>
        <w:t xml:space="preserve"> </w:t>
      </w:r>
      <w:hyperlink w:anchor="ref-behrouz2025">
        <w:r>
          <w:rPr>
            <w:rStyle w:val="Hyperlink"/>
          </w:rPr>
          <w:t xml:space="preserve">[37]</w:t>
        </w:r>
      </w:hyperlink>
      <w:r>
        <w:t xml:space="preserve">. However, standards remain siloed by technical domain rather than providing integrated frameworks for end-to-end enterprise decision system governance.</w:t>
      </w:r>
    </w:p>
    <w:p>
      <w:pPr>
        <w:pStyle w:val="BodyText"/>
      </w:pPr>
      <w:r>
        <w:t xml:space="preserve">The implementation reality is that most organizations must bridge between legacy systems with limited standardization and emerging modern architectures aspiring toward standardized approaches. API-first integration architectures provide practical middle ground; by exposing legacy system functionality through standardized API interfaces, organizations can integrate heterogeneous systems without requiring complete migration to modern architectures</w:t>
      </w:r>
      <w:r>
        <w:t xml:space="preserve"> </w:t>
      </w:r>
      <w:hyperlink w:anchor="ref-arjun2025">
        <w:r>
          <w:rPr>
            <w:rStyle w:val="Hyperlink"/>
          </w:rPr>
          <w:t xml:space="preserve">[39]</w:t>
        </w:r>
      </w:hyperlink>
      <w:r>
        <w:t xml:space="preserve">. However, API-first approaches introduce their own complexity; organizations must manage API versioning, security, and performance across potentially hundreds of integrations.</w:t>
      </w:r>
    </w:p>
    <w:p>
      <w:r>
        <w:pict>
          <v:rect style="width:0;height:1.5pt" o:hralign="center" o:hrstd="t" o:hr="t"/>
        </w:pict>
      </w:r>
    </w:p>
    <w:p>
      <w:pPr>
        <w:pStyle w:val="Heading2"/>
      </w:pPr>
      <w:r>
        <w:rPr>
          <w:b/>
          <w:bCs/>
        </w:rPr>
        <w:t xml:space="preserve">V. Research Gaps and Emerging Challenges</w:t>
      </w:r>
    </w:p>
    <w:p>
      <w:pPr>
        <w:pStyle w:val="Heading3"/>
      </w:pPr>
      <w:r>
        <w:rPr>
          <w:b/>
          <w:bCs/>
        </w:rPr>
        <w:t xml:space="preserve">A. Explainability, Transparency, and Trustworthy AI in Enterprise Contexts</w:t>
      </w:r>
    </w:p>
    <w:p>
      <w:pPr>
        <w:pStyle w:val="FirstParagraph"/>
      </w:pPr>
      <w:r>
        <w:t xml:space="preserve">While significant progress has been made in developing explainable AI techniques, deploying these approaches at enterprise scale while maintaining practical decision-making speed remains an unsolved challenge</w:t>
      </w:r>
      <w:r>
        <w:t xml:space="preserve"> </w:t>
      </w:r>
      <w:hyperlink w:anchor="ref-yansen2025">
        <w:r>
          <w:rPr>
            <w:rStyle w:val="Hyperlink"/>
          </w:rPr>
          <w:t xml:space="preserve">[40]</w:t>
        </w:r>
      </w:hyperlink>
      <w:r>
        <w:t xml:space="preserve">. Decision-makers in high-stakes domains (finance, healthcare, critical infrastructure) require explanations that are not merely technically accurate but interpretable to domain experts who may lack machine learning expertise. Explanations must account for relevant regulatory requirements and address specific stakeholder concerns about bias, fairness, and compliance.</w:t>
      </w:r>
    </w:p>
    <w:p>
      <w:pPr>
        <w:pStyle w:val="BodyText"/>
      </w:pPr>
      <w:r>
        <w:t xml:space="preserve">Current explainability approaches exhibit substantial limitations. SHAP (SHapley Additive exPlanations) values and attention mechanisms provide post-hoc explanations of model outputs, but these explanations often fail to capture causal reasoning—why a decision led to a particular outcome—versus correlational reasoning—what features were associated with the output. Counterfactual explanations (describing what would need to change for a decision to differ) are more intuitive to business users, but remain computationally expensive to generate at scale and often require hand-engineering for specific domains</w:t>
      </w:r>
      <w:r>
        <w:t xml:space="preserve"> </w:t>
      </w:r>
      <w:hyperlink w:anchor="ref-yansen2025">
        <w:r>
          <w:rPr>
            <w:rStyle w:val="Hyperlink"/>
          </w:rPr>
          <w:t xml:space="preserve">[40]</w:t>
        </w:r>
      </w:hyperlink>
      <w:r>
        <w:t xml:space="preserve">.</w:t>
      </w:r>
    </w:p>
    <w:p>
      <w:pPr>
        <w:pStyle w:val="BodyText"/>
      </w:pPr>
      <w:r>
        <w:t xml:space="preserve">The challenge is particularly acute for autonomous systems based on deep learning and reinforcement learning, where decision-making emerges from complex, non-linear interactions across millions of parameters. Organizations increasingly recognize that unexplainable autonomous systems undermine trust, limit adoption, and create governance gaps inconsistent with regulatory requirements. Yet requiring complete explainability of every decision can create decision latency that negates the speed advantages of autonomous systems.</w:t>
      </w:r>
    </w:p>
    <w:p>
      <w:pPr>
        <w:pStyle w:val="Heading3"/>
      </w:pPr>
      <w:r>
        <w:rPr>
          <w:b/>
          <w:bCs/>
        </w:rPr>
        <w:t xml:space="preserve">B. Fairness, Bias Mitigation, and Ethical Governance</w:t>
      </w:r>
    </w:p>
    <w:p>
      <w:pPr>
        <w:pStyle w:val="FirstParagraph"/>
      </w:pPr>
      <w:r>
        <w:t xml:space="preserve">Enterprise decision systems increasingly make consequential decisions affecting humans—hiring recommendations, loan decisions, medical diagnoses, criminal justice recommendations. Empirical research demonstrates that state-of-the-art large language models exhibit significant gender and racial biases in high-stakes decision-making contexts; GPT-4, despite being more advanced than GPT-3.5, awarded higher scores to female candidates with comparable qualifications but lower scores to Black male candidates, with these biases translating to 1-3 percentage point differences in hiring probability</w:t>
      </w:r>
      <w:r>
        <w:t xml:space="preserve"> </w:t>
      </w:r>
      <w:hyperlink w:anchor="ref-jiafu2025">
        <w:r>
          <w:rPr>
            <w:rStyle w:val="Hyperlink"/>
          </w:rPr>
          <w:t xml:space="preserve">[41]</w:t>
        </w:r>
      </w:hyperlink>
      <w:r>
        <w:t xml:space="preserve">.</w:t>
      </w:r>
    </w:p>
    <w:p>
      <w:pPr>
        <w:pStyle w:val="BodyText"/>
      </w:pPr>
      <w:r>
        <w:t xml:space="preserve">Bias mitigation approaches exist, but remain incomplete. Algorithmic fairness frameworks can enforce constraints (e.g., demographic parity, equalized false positive rates), but these constraints often prove mutually exclusive; improving fairness on one dimension often degrades fairness on another</w:t>
      </w:r>
      <w:r>
        <w:t xml:space="preserve"> </w:t>
      </w:r>
      <w:hyperlink w:anchor="ref-jiafu2025">
        <w:r>
          <w:rPr>
            <w:rStyle w:val="Hyperlink"/>
          </w:rPr>
          <w:t xml:space="preserve">[41]</w:t>
        </w:r>
      </w:hyperlink>
      <w:r>
        <w:t xml:space="preserve">. Data augmentation and synthetic data approaches can increase representation of underrepresented groups, but risk amplifying existing biases if synthetic data generation algorithms themselves exhibit bias. Human-in-the-loop approaches where humans review decisions flagged as potentially biased help mitigate failures, but create bottlenecks when applied at scale.</w:t>
      </w:r>
    </w:p>
    <w:p>
      <w:pPr>
        <w:pStyle w:val="BodyText"/>
      </w:pPr>
      <w:r>
        <w:t xml:space="preserve">The organizational challenge is that bias mitigation requires sustained commitment and cross-functional governance. Technical approaches alone prove insufficient; organizations must establish bias auditing processes, maintain diverse decision-making teams, and establish accountability mechanisms where biases in autonomous systems trigger organizational responses (retraining, system modification) rather than being treated as acceptable collateral damage</w:t>
      </w:r>
      <w:r>
        <w:t xml:space="preserve"> </w:t>
      </w:r>
      <w:hyperlink w:anchor="ref-faith2025">
        <w:r>
          <w:rPr>
            <w:rStyle w:val="Hyperlink"/>
          </w:rPr>
          <w:t xml:space="preserve">[42]</w:t>
        </w:r>
      </w:hyperlink>
      <w:r>
        <w:t xml:space="preserve">.</w:t>
      </w:r>
    </w:p>
    <w:p>
      <w:pPr>
        <w:pStyle w:val="Heading3"/>
      </w:pPr>
      <w:r>
        <w:rPr>
          <w:b/>
          <w:bCs/>
        </w:rPr>
        <w:t xml:space="preserve">C. Model Validation, Robustness, and Adversarial Resilience</w:t>
      </w:r>
    </w:p>
    <w:p>
      <w:pPr>
        <w:pStyle w:val="FirstParagraph"/>
      </w:pPr>
      <w:r>
        <w:t xml:space="preserve">Enterprise deployment of autonomous decision systems requires rigorous validation that models will perform reliably on out-of-distribution data, under adversarial attack, and under operational conditions that differ from training conditions. Traditional validation approaches—using held-out test sets to estimate model generalization—prove insufficient for deployed autonomous systems where performance degradation can have significant operational or safety consequences.</w:t>
      </w:r>
    </w:p>
    <w:p>
      <w:pPr>
        <w:pStyle w:val="BodyText"/>
      </w:pPr>
      <w:r>
        <w:t xml:space="preserve">Robust validation requires stress-testing models across diverse scenarios: temporal shifts (how does model performance degrade as operational conditions evolve?), domain shifts (how does performance degrade when applied to different business units or geographies?), adversarial scenarios (how does performance degrade when faced with intentionally crafted inputs designed to fool the model?), and failure mode analysis (what happens when the model makes its worst mistakes, and how can these failure modes be prevented or mitigated?)</w:t>
      </w:r>
      <w:r>
        <w:t xml:space="preserve"> </w:t>
      </w:r>
      <w:hyperlink w:anchor="ref-m2024">
        <w:r>
          <w:rPr>
            <w:rStyle w:val="Hyperlink"/>
          </w:rPr>
          <w:t xml:space="preserve">[43]</w:t>
        </w:r>
      </w:hyperlink>
      <w:r>
        <w:t xml:space="preserve">.</w:t>
      </w:r>
    </w:p>
    <w:p>
      <w:pPr>
        <w:pStyle w:val="BodyText"/>
      </w:pPr>
      <w:r>
        <w:t xml:space="preserve">Adversarial robustness proves particularly challenging. Even small, imperceptible perturbations to model inputs can dramatically change model outputs; for example, imperceptible modifications to an image can cause image classifiers to misclassify objects with high confidence. For enterprise decision systems, adversarial attacks might involve manipulating input data to cause the system to make suboptimal or harmful decisions. Supply chain forecasting systems manipulated by competitors to induce inventory imbalances, hiring systems targeted by candidates providing adversarially crafted resumes, credit risk models attacked by loan applicants providing fraudulent information—these scenarios demand defensive mechanisms that remain underdeveloped</w:t>
      </w:r>
      <w:r>
        <w:t xml:space="preserve"> </w:t>
      </w:r>
      <w:hyperlink w:anchor="ref-ayotunde2025">
        <w:r>
          <w:rPr>
            <w:rStyle w:val="Hyperlink"/>
          </w:rPr>
          <w:t xml:space="preserve">[44]</w:t>
        </w:r>
      </w:hyperlink>
      <w:r>
        <w:t xml:space="preserve">.</w:t>
      </w:r>
    </w:p>
    <w:p>
      <w:pPr>
        <w:pStyle w:val="BodyText"/>
      </w:pPr>
      <w:r>
        <w:t xml:space="preserve">Federated learning and decentralized AI approaches show promise for adversarial robustness; by training models across distributed data sources without centralizing sensitive information, these approaches reduce single points of failure and make large-scale data poisoning attacks more difficult. However, federated approaches introduce their own challenges including complex coordination across distributed nodes, verification of model quality and fairness across decentralized training, and protection against data reconstruction attacks where adversaries attempt to extract sensitive information from model updates</w:t>
      </w:r>
      <w:r>
        <w:t xml:space="preserve"> </w:t>
      </w:r>
      <w:hyperlink w:anchor="ref-samuel2025">
        <w:r>
          <w:rPr>
            <w:rStyle w:val="Hyperlink"/>
          </w:rPr>
          <w:t xml:space="preserve">[45]</w:t>
        </w:r>
      </w:hyperlink>
      <w:r>
        <w:t xml:space="preserve">.</w:t>
      </w:r>
    </w:p>
    <w:p>
      <w:r>
        <w:pict>
          <v:rect style="width:0;height:1.5pt" o:hralign="center" o:hrstd="t" o:hr="t"/>
        </w:pict>
      </w:r>
    </w:p>
    <w:p>
      <w:pPr>
        <w:pStyle w:val="Heading2"/>
      </w:pPr>
      <w:r>
        <w:rPr>
          <w:b/>
          <w:bCs/>
        </w:rPr>
        <w:t xml:space="preserve">VI. Barriers to Adoption in Enterprise Environments</w:t>
      </w:r>
    </w:p>
    <w:p>
      <w:pPr>
        <w:pStyle w:val="Heading3"/>
      </w:pPr>
      <w:r>
        <w:rPr>
          <w:b/>
          <w:bCs/>
        </w:rPr>
        <w:t xml:space="preserve">A. Organizational and Governance Barriers</w:t>
      </w:r>
    </w:p>
    <w:p>
      <w:pPr>
        <w:pStyle w:val="FirstParagraph"/>
      </w:pPr>
      <w:r>
        <w:t xml:space="preserve">Empirical research reveals that adoption barriers for autonomous AI systems are less often technical than organizational. A study of AI adoption barriers in healthcare enterprise systems found that governance-related barriers were more salient than technological or people-related barriers</w:t>
      </w:r>
      <w:r>
        <w:t xml:space="preserve"> </w:t>
      </w:r>
      <w:hyperlink w:anchor="ref-m2026">
        <w:r>
          <w:rPr>
            <w:rStyle w:val="Hyperlink"/>
          </w:rPr>
          <w:t xml:space="preserve">[46]</w:t>
        </w:r>
      </w:hyperlink>
      <w:r>
        <w:t xml:space="preserve">. Organizations struggle not primarily with model accuracy or computational performance, but with establishing decision rights, accountability structures, and governance mechanisms that align autonomous systems with organizational values and risk tolerance.</w:t>
      </w:r>
    </w:p>
    <w:p>
      <w:pPr>
        <w:pStyle w:val="BodyText"/>
      </w:pPr>
      <w:r>
        <w:t xml:space="preserve">The "agency problem" emerges when organizations deploy autonomous systems that make consequential decisions but cannot adequately explain why decisions were made or hold the systems (and their developers) accountable when decisions fail. In high-stakes domains like critical infrastructure or defense, this accountability gap creates governance crises. Who is responsible if an autonomous system makes a harmful decision? The system developer? The organization deploying the system? The regulator who approved deployment? These questions remain largely unresolved.</w:t>
      </w:r>
    </w:p>
    <w:p>
      <w:pPr>
        <w:pStyle w:val="BodyText"/>
      </w:pPr>
      <w:r>
        <w:t xml:space="preserve">Trust emerges as a critical organizational barrier. Even when autonomous systems demonstrate superior technical performance compared to human decision-makers, organizations prove reluctant to adopt them without extensive piloting, validation, and cultural preparation</w:t>
      </w:r>
      <w:r>
        <w:t xml:space="preserve"> </w:t>
      </w:r>
      <w:hyperlink w:anchor="ref-rajeshkumar2025">
        <w:r>
          <w:rPr>
            <w:rStyle w:val="Hyperlink"/>
          </w:rPr>
          <w:t xml:space="preserve">[47]</w:t>
        </w:r>
      </w:hyperlink>
      <w:r>
        <w:t xml:space="preserve">. Risk-averse organizational cultures, entrenched stakeholder interests (workers fearful of job displacement), and organizational structures that treat AI as an IT function rather than a core business capability all contribute to slow adoption despite technical readiness.</w:t>
      </w:r>
    </w:p>
    <w:p>
      <w:pPr>
        <w:pStyle w:val="BodyText"/>
      </w:pPr>
      <w:r>
        <w:t xml:space="preserve">Governance maturity models are emerging to help organizations assess and improve their readiness for autonomous AI deployment. The Agentic AI Governance Maturity Model (AAGMM) provides a five-level framework spanning 12 governance domains; empirical simulations demonstrate statistically significant differences in business outcomes between organizations at different governance maturity levels, with Level 4-5 organizations achieving 94.3% lower sprawl indices, 96.4% fewer risk incidents, and 32.6% higher effective task completion rates compared to Level 1 organizations</w:t>
      </w:r>
      <w:r>
        <w:t xml:space="preserve"> </w:t>
      </w:r>
      <w:hyperlink w:anchor="ref-vivek2026">
        <w:r>
          <w:rPr>
            <w:rStyle w:val="Hyperlink"/>
          </w:rPr>
          <w:t xml:space="preserve">[48]</w:t>
        </w:r>
      </w:hyperlink>
      <w:r>
        <w:t xml:space="preserve">.</w:t>
      </w:r>
    </w:p>
    <w:p>
      <w:pPr>
        <w:pStyle w:val="Heading3"/>
      </w:pPr>
      <w:r>
        <w:rPr>
          <w:b/>
          <w:bCs/>
        </w:rPr>
        <w:t xml:space="preserve">B. Data Infrastructure and Quality Challenges</w:t>
      </w:r>
    </w:p>
    <w:p>
      <w:pPr>
        <w:pStyle w:val="FirstParagraph"/>
      </w:pPr>
      <w:r>
        <w:t xml:space="preserve">A hierarchical structural analysis of AI adoption barriers across supply chain forecasting contexts reveals that infrastructure gaps, real-time data deficits, and skill shortages function as root-level drivers, while algorithmic opacity and ethical concerns emerge as volatile linkage barriers, with organizational resistance as dependent outcomes</w:t>
      </w:r>
      <w:r>
        <w:t xml:space="preserve"> </w:t>
      </w:r>
      <w:hyperlink w:anchor="ref-santanu2026">
        <w:r>
          <w:rPr>
            <w:rStyle w:val="Hyperlink"/>
          </w:rPr>
          <w:t xml:space="preserve">[49]</w:t>
        </w:r>
      </w:hyperlink>
      <w:r>
        <w:t xml:space="preserve">. In other words, behavioral resistance is not autonomous but rather induced by structural barriers; addressing organizational resistance without first fixing infrastructure, data, and skill gaps proves ineffective.</w:t>
      </w:r>
    </w:p>
    <w:p>
      <w:pPr>
        <w:pStyle w:val="BodyText"/>
      </w:pPr>
      <w:r>
        <w:t xml:space="preserve">Data quality challenges are particularly acute. Traditional business systems were designed for documentation, billing, and compliance purposes—not for training machine learning models. Data are distributed across multiple systems, collected at inconsistent intervals with heterogeneous temporal resolution, contain missing values and errors due to manual data entry, and lack clear data definitions and quality metrics</w:t>
      </w:r>
      <w:r>
        <w:t xml:space="preserve"> </w:t>
      </w:r>
      <w:hyperlink w:anchor="ref-olivier2026">
        <w:r>
          <w:rPr>
            <w:rStyle w:val="Hyperlink"/>
          </w:rPr>
          <w:t xml:space="preserve">[35]</w:t>
        </w:r>
      </w:hyperlink>
      <w:r>
        <w:t xml:space="preserve">. Real-time analytics requirements exacerbate these challenges; many traditional data warehouses operate on daily or weekly refresh cycles insufficient for autonomous systems requiring real-time inputs.</w:t>
      </w:r>
    </w:p>
    <w:p>
      <w:pPr>
        <w:pStyle w:val="BodyText"/>
      </w:pPr>
      <w:r>
        <w:t xml:space="preserve">The "AI Data Eclipse" phenomenon—where incomplete, biased, or inaccessible procurement data undermines AI system performance—remains widespread even in organizations with mature IT infrastructure</w:t>
      </w:r>
      <w:r>
        <w:t xml:space="preserve"> </w:t>
      </w:r>
      <w:hyperlink w:anchor="ref-prajkta2025">
        <w:r>
          <w:rPr>
            <w:rStyle w:val="Hyperlink"/>
          </w:rPr>
          <w:t xml:space="preserve">[50]</w:t>
        </w:r>
      </w:hyperlink>
      <w:r>
        <w:t xml:space="preserve">. Organizations often trap themselves in "pilot purgatory," deploying successful proof-of-concept AI systems that cannot scale to production due to inadequate data infrastructure. Addressing this barrier requires not merely incremental improvements to existing data systems, but fundamental architectural transformation toward real-time, federated, semantically integrated data fabrics</w:t>
      </w:r>
      <w:r>
        <w:t xml:space="preserve"> </w:t>
      </w:r>
      <w:hyperlink w:anchor="ref-prudhvi2025">
        <w:r>
          <w:rPr>
            <w:rStyle w:val="Hyperlink"/>
          </w:rPr>
          <w:t xml:space="preserve">[51]</w:t>
        </w:r>
      </w:hyperlink>
      <w:r>
        <w:t xml:space="preserve">.</w:t>
      </w:r>
    </w:p>
    <w:p>
      <w:pPr>
        <w:pStyle w:val="Heading3"/>
      </w:pPr>
      <w:r>
        <w:rPr>
          <w:b/>
          <w:bCs/>
        </w:rPr>
        <w:t xml:space="preserve">C. Workforce Skills and Change Management</w:t>
      </w:r>
    </w:p>
    <w:p>
      <w:pPr>
        <w:pStyle w:val="FirstParagraph"/>
      </w:pPr>
      <w:r>
        <w:t xml:space="preserve">Organizations struggle significantly with the workforce implications of autonomous decision systems. The rapid evolution of AI capabilities has created acute skill shortages in critical areas: data engineering to build and maintain data infrastructure, machine learning engineering to develop and validate models, AI ethics and governance specialists to design and oversee responsible AI systems, and domain experts who can translate business problems into AI solutions.</w:t>
      </w:r>
    </w:p>
    <w:p>
      <w:pPr>
        <w:pStyle w:val="BodyText"/>
      </w:pPr>
      <w:r>
        <w:t xml:space="preserve">Beyond skill shortages, organizations face deeper challenges in workforce transformation. Autonomous systems threaten employment in routine decision-making roles (loan officers whose job is credit risk assessment, management analysts whose role is performance analysis); organizations must manage workforce transitions while preserving institutional knowledge and maintaining employee morale</w:t>
      </w:r>
      <w:r>
        <w:t xml:space="preserve"> </w:t>
      </w:r>
      <w:hyperlink w:anchor="ref-kumar2025">
        <w:r>
          <w:rPr>
            <w:rStyle w:val="Hyperlink"/>
          </w:rPr>
          <w:t xml:space="preserve">[52]</w:t>
        </w:r>
      </w:hyperlink>
      <w:r>
        <w:t xml:space="preserve">. Knowledge workers paradoxically require reskilling; their future value depends on assuming responsibility for higher-order tasks (strategy, creativity, complex judgment) that autonomous systems cannot address. Yet most organizations lack structured programs for workforce transition and skill development.</w:t>
      </w:r>
    </w:p>
    <w:p>
      <w:pPr>
        <w:pStyle w:val="BodyText"/>
      </w:pPr>
      <w:r>
        <w:t xml:space="preserve">Change management emerges as a persistent underestimated barrier. Organizations implementing agentic AI systems report that technical implementation consumes 20% of effort while organizational change management, stakeholder alignment, and governance establishment consume 80%. Stakeholder concerns about job displacement, concerns about accountability and liability when autonomous systems fail, and legitimate concerns about potential bias or fairness issues all must be addressed through sustained organizational change efforts</w:t>
      </w:r>
      <w:r>
        <w:t xml:space="preserve"> </w:t>
      </w:r>
      <w:hyperlink w:anchor="ref-kristen2026">
        <w:r>
          <w:rPr>
            <w:rStyle w:val="Hyperlink"/>
          </w:rPr>
          <w:t xml:space="preserve">[53]</w:t>
        </w:r>
      </w:hyperlink>
      <w:r>
        <w:t xml:space="preserve">.</w:t>
      </w:r>
    </w:p>
    <w:p>
      <w:r>
        <w:pict>
          <v:rect style="width:0;height:1.5pt" o:hralign="center" o:hrstd="t" o:hr="t"/>
        </w:pict>
      </w:r>
    </w:p>
    <w:p>
      <w:pPr>
        <w:pStyle w:val="Heading2"/>
      </w:pPr>
      <w:r>
        <w:rPr>
          <w:b/>
          <w:bCs/>
        </w:rPr>
        <w:t xml:space="preserve">VII. Critical Infrastructure, Defense, and Aerospace Implications</w:t>
      </w:r>
    </w:p>
    <w:p>
      <w:pPr>
        <w:pStyle w:val="Heading3"/>
      </w:pPr>
      <w:r>
        <w:rPr>
          <w:b/>
          <w:bCs/>
        </w:rPr>
        <w:t xml:space="preserve">A. Autonomous Decision Systems in Critical Infrastructure Protection</w:t>
      </w:r>
    </w:p>
    <w:p>
      <w:pPr>
        <w:pStyle w:val="FirstParagraph"/>
      </w:pPr>
      <w:r>
        <w:t xml:space="preserve">Critical infrastructure sectors—energy, transportation, water, communications, financial systems—face escalating cyber threats that traditional security approaches prove inadequate to address</w:t>
      </w:r>
      <w:r>
        <w:t xml:space="preserve"> </w:t>
      </w:r>
      <w:hyperlink w:anchor="ref-m2025">
        <w:r>
          <w:rPr>
            <w:rStyle w:val="Hyperlink"/>
          </w:rPr>
          <w:t xml:space="preserve">[54]</w:t>
        </w:r>
      </w:hyperlink>
      <w:r>
        <w:t xml:space="preserve">. Autonomous decision systems present both opportunities and risks. AI-driven threat detection, predictive analytics, and autonomous response capabilities enable infrastructure operators to detect and mitigate attacks faster than human response teams, improving resilience. However, autonomous cybersecurity systems themselves become targets for attack, and compromised autonomous decision systems could amplify the scope and impact of infrastructure attacks.</w:t>
      </w:r>
    </w:p>
    <w:p>
      <w:pPr>
        <w:pStyle w:val="BodyText"/>
      </w:pPr>
      <w:r>
        <w:t xml:space="preserve">Autonomous cyber defense (ACD) systems represent an emerging capability for critical infrastructure protection. Rather than relying on human security analysts to identify threats and authorize responses, ACD systems employ multi-agent reinforcement learning, natural language models, and rule-based reasoning to automatically identify threats, determine appropriate response actions, and coordinate defensive measures across distributed infrastructure</w:t>
      </w:r>
      <w:r>
        <w:t xml:space="preserve"> </w:t>
      </w:r>
      <w:hyperlink w:anchor="ref-j2025">
        <w:r>
          <w:rPr>
            <w:rStyle w:val="Hyperlink"/>
          </w:rPr>
          <w:t xml:space="preserve">[55]</w:t>
        </w:r>
      </w:hyperlink>
      <w:r>
        <w:t xml:space="preserve">. Empirical evaluation in simulated military network environments demonstrates that ACD systems achieve superior performance compared to conventional intrusion detection systems in detecting stealthy intrusions and lateral assaults, while maintaining explainability through integrated explainable AI layers</w:t>
      </w:r>
      <w:r>
        <w:t xml:space="preserve"> </w:t>
      </w:r>
      <w:hyperlink w:anchor="ref-s2025a">
        <w:r>
          <w:rPr>
            <w:rStyle w:val="Hyperlink"/>
          </w:rPr>
          <w:t xml:space="preserve">[56]</w:t>
        </w:r>
      </w:hyperlink>
      <w:r>
        <w:t xml:space="preserve">.</w:t>
      </w:r>
    </w:p>
    <w:p>
      <w:pPr>
        <w:pStyle w:val="BodyText"/>
      </w:pPr>
      <w:r>
        <w:t xml:space="preserve">However, deploying autonomous cybersecurity systems in critical infrastructure creates novel governance challenges. What decision authority should autonomous systems retain? Should an autonomous system shut down critical infrastructure to prevent compromise, or maintain service availability at the risk of partial compromise? Should autonomous systems deploy aggressive offensive measures (e.g., honeypots, deception systems, counter-attacks) or adopt purely defensive postures? These questions pit operational resilience against security posture, and require value judgments that should be made by humans with authority and accountability rather than delegated to autonomous systems</w:t>
      </w:r>
      <w:r>
        <w:t xml:space="preserve"> </w:t>
      </w:r>
      <w:hyperlink w:anchor="ref-youngbok2026">
        <w:r>
          <w:rPr>
            <w:rStyle w:val="Hyperlink"/>
          </w:rPr>
          <w:t xml:space="preserve">[57]</w:t>
        </w:r>
      </w:hyperlink>
      <w:r>
        <w:t xml:space="preserve">.</w:t>
      </w:r>
    </w:p>
    <w:p>
      <w:pPr>
        <w:pStyle w:val="Heading3"/>
      </w:pPr>
      <w:r>
        <w:rPr>
          <w:b/>
          <w:bCs/>
        </w:rPr>
        <w:t xml:space="preserve">B. Aerospace and Defense Applications</w:t>
      </w:r>
    </w:p>
    <w:p>
      <w:pPr>
        <w:pStyle w:val="FirstParagraph"/>
      </w:pPr>
      <w:r>
        <w:t xml:space="preserve">The aerospace and defense (AD) sectors face unique decision-making challenges: decisions must be made under conditions of incomplete information, high uncertainty, and severe time pressure; decisions have high-consequence implications for national security and human safety; and decisions often occur in contested, adversarial environments where opponents actively attempt to degrade system performance</w:t>
      </w:r>
      <w:r>
        <w:t xml:space="preserve"> </w:t>
      </w:r>
      <w:hyperlink w:anchor="ref-p2025">
        <w:r>
          <w:rPr>
            <w:rStyle w:val="Hyperlink"/>
          </w:rPr>
          <w:t xml:space="preserve">[58]</w:t>
        </w:r>
      </w:hyperlink>
      <w:r>
        <w:t xml:space="preserve">.</w:t>
      </w:r>
    </w:p>
    <w:p>
      <w:pPr>
        <w:pStyle w:val="BodyText"/>
      </w:pPr>
      <w:r>
        <w:t xml:space="preserve">Autonomous decision systems in defense contexts include unmanned aerial systems requiring real-time flight control and tactical decision-making, air traffic management systems coordinating movement of multiple aircraft, defense network systems protecting against cyber intrusions and other threats, and strategic decision support systems advising senior military leadership on operational and strategic choices</w:t>
      </w:r>
      <w:r>
        <w:t xml:space="preserve"> </w:t>
      </w:r>
      <w:hyperlink w:anchor="ref-j2024">
        <w:r>
          <w:rPr>
            <w:rStyle w:val="Hyperlink"/>
          </w:rPr>
          <w:t xml:space="preserve">[59]</w:t>
        </w:r>
      </w:hyperlink>
      <w:r>
        <w:t xml:space="preserve">. These applications demand exceptional reliability, robustness to adversarial attack, and human oversight mechanisms ensuring that autonomous systems remain subordinate to human command.</w:t>
      </w:r>
    </w:p>
    <w:p>
      <w:pPr>
        <w:pStyle w:val="BodyText"/>
      </w:pPr>
      <w:r>
        <w:t xml:space="preserve">Training autonomous agents for military deployment has proven more challenging than initially anticipated. Agents trained in simulation may perform poorly when deployed in real operational environments where conditions differ from training scenarios. Adversarial environments introduce particular challenges; opponents actively search for system vulnerabilities and attempt to manipulate agent behavior through deceptive inputs</w:t>
      </w:r>
      <w:r>
        <w:t xml:space="preserve"> </w:t>
      </w:r>
      <w:hyperlink w:anchor="ref-j2024">
        <w:r>
          <w:rPr>
            <w:rStyle w:val="Hyperlink"/>
          </w:rPr>
          <w:t xml:space="preserve">[59]</w:t>
        </w:r>
      </w:hyperlink>
      <w:r>
        <w:t xml:space="preserve">. Additionally, the need to maintain human command and control over military autonomous systems while enabling the responsiveness benefits of autonomous decision-making creates architectural tensions difficult to resolve.</w:t>
      </w:r>
    </w:p>
    <w:p>
      <w:pPr>
        <w:pStyle w:val="BodyText"/>
      </w:pPr>
      <w:r>
        <w:t xml:space="preserve">Reinforcement learning approaches for autonomous vehicle control demonstrate progress toward more reliable autonomous decision-making. By combining transformer-based perception models with hierarchical reinforcement learning and explicit rule-based reasoning, researchers have achieved significant improvements in safety-critical driving decisions, including improved handling of edge cases and reduced collision rates</w:t>
      </w:r>
      <w:r>
        <w:t xml:space="preserve"> </w:t>
      </w:r>
      <w:hyperlink w:anchor="ref-yang2026">
        <w:r>
          <w:rPr>
            <w:rStyle w:val="Hyperlink"/>
          </w:rPr>
          <w:t xml:space="preserve">[60]</w:t>
        </w:r>
      </w:hyperlink>
      <w:r>
        <w:t xml:space="preserve">. These capabilities transfer partially to military applications; autonomous systems that can maintain safe flight under adverse conditions and adapt to dynamic threats offer valuable capabilities. However, the added complexity of adversarial military environments—where adversaries actively attempt to fool or mislead autonomous systems—remains inadequately addressed.</w:t>
      </w:r>
    </w:p>
    <w:p>
      <w:pPr>
        <w:pStyle w:val="Heading3"/>
      </w:pPr>
      <w:r>
        <w:rPr>
          <w:b/>
          <w:bCs/>
        </w:rPr>
        <w:t xml:space="preserve">C. Implications for Government and Policy</w:t>
      </w:r>
    </w:p>
    <w:p>
      <w:pPr>
        <w:pStyle w:val="FirstParagraph"/>
      </w:pPr>
      <w:r>
        <w:t xml:space="preserve">The deployment of autonomous decision systems in critical domains creates policy implications across multiple dimensions: national security, public safety, economic competitiveness, employment, and civil liberties.</w:t>
      </w:r>
    </w:p>
    <w:p>
      <w:pPr>
        <w:pStyle w:val="BodyText"/>
      </w:pPr>
      <w:r>
        <w:rPr>
          <w:b/>
          <w:bCs/>
        </w:rPr>
        <w:t xml:space="preserve">National Security Implications</w:t>
      </w:r>
      <w:r>
        <w:t xml:space="preserve">: Nations deploying advanced autonomous decision systems in military and defense contexts gain tactical and strategic advantages through faster decision cycles and superior real-time coordination. Conversely, nations failing to deploy autonomous systems face asymmetric disadvantages. This creates policy pressure toward rapid deployment without adequate safeguards, similar to the nuclear arms race dynamics of the Cold War</w:t>
      </w:r>
      <w:r>
        <w:t xml:space="preserve"> </w:t>
      </w:r>
      <w:hyperlink w:anchor="ref-j2025a">
        <w:r>
          <w:rPr>
            <w:rStyle w:val="Hyperlink"/>
          </w:rPr>
          <w:t xml:space="preserve">[61]</w:t>
        </w:r>
      </w:hyperlink>
      <w:r>
        <w:t xml:space="preserve">. International policy discussions should focus on establishing norms and verification mechanisms for safe, transparent deployment of autonomous defense systems.</w:t>
      </w:r>
    </w:p>
    <w:p>
      <w:pPr>
        <w:pStyle w:val="BodyText"/>
      </w:pPr>
      <w:r>
        <w:rPr>
          <w:b/>
          <w:bCs/>
        </w:rPr>
        <w:t xml:space="preserve">Critical Infrastructure Resilience</w:t>
      </w:r>
      <w:r>
        <w:t xml:space="preserve">: As critical infrastructure becomes increasingly reliant on autonomous decision systems, resilience becomes paramount. Policies should mandate periodic penetration testing and adversarial red-teaming of autonomous systems, establish governance structures ensuring human oversight of critical decisions, and develop recovery procedures enabling rapid restoration of human control if autonomous systems fail</w:t>
      </w:r>
      <w:r>
        <w:t xml:space="preserve"> </w:t>
      </w:r>
      <w:hyperlink w:anchor="ref-m2025">
        <w:r>
          <w:rPr>
            <w:rStyle w:val="Hyperlink"/>
          </w:rPr>
          <w:t xml:space="preserve">[54]</w:t>
        </w:r>
      </w:hyperlink>
      <w:r>
        <w:t xml:space="preserve">.</w:t>
      </w:r>
    </w:p>
    <w:p>
      <w:pPr>
        <w:pStyle w:val="BodyText"/>
      </w:pPr>
      <w:r>
        <w:rPr>
          <w:b/>
          <w:bCs/>
        </w:rPr>
        <w:t xml:space="preserve">Regulatory and Governance Frameworks</w:t>
      </w:r>
      <w:r>
        <w:t xml:space="preserve">: The European AI Act, US Executive Order on AI, and other regulatory initiatives attempt to establish governance frameworks for AI systems. However, existing frameworks often prove inadequate for highly autonomous systems making rapid consequential decisions. Forward-looking policy should establish tiered governance approaches, with lighter oversight for low-risk applications and comprehensive governance for high-risk domains like critical infrastructure, criminal justice, and healthcare</w:t>
      </w:r>
      <w:r>
        <w:t xml:space="preserve"> </w:t>
      </w:r>
      <w:hyperlink w:anchor="ref-ian2025">
        <w:r>
          <w:rPr>
            <w:rStyle w:val="Hyperlink"/>
          </w:rPr>
          <w:t xml:space="preserve">[62]</w:t>
        </w:r>
      </w:hyperlink>
      <w:r>
        <w:t xml:space="preserve">.</w:t>
      </w:r>
    </w:p>
    <w:p>
      <w:pPr>
        <w:pStyle w:val="BodyText"/>
      </w:pPr>
      <w:r>
        <w:rPr>
          <w:b/>
          <w:bCs/>
        </w:rPr>
        <w:t xml:space="preserve">Workforce and Economic Implications</w:t>
      </w:r>
      <w:r>
        <w:t xml:space="preserve">: Autonomous decision systems will displace workers in routine decision-making roles (analysts, coordinators, supervisors) while creating demand for high-skill roles (system designers, domain experts, AI ethicists). Policy should support workforce transition through education and reskilling programs, explore mechanisms for distributing productivity gains from automation broadly across society rather than concentrating them among capital owners, and establish social safety nets supporting workers displaced by automation</w:t>
      </w:r>
      <w:r>
        <w:t xml:space="preserve"> </w:t>
      </w:r>
      <w:hyperlink w:anchor="ref-kumar2025">
        <w:r>
          <w:rPr>
            <w:rStyle w:val="Hyperlink"/>
          </w:rPr>
          <w:t xml:space="preserve">[52]</w:t>
        </w:r>
      </w:hyperlink>
      <w:r>
        <w:t xml:space="preserve">.</w:t>
      </w:r>
    </w:p>
    <w:p>
      <w:r>
        <w:pict>
          <v:rect style="width:0;height:1.5pt" o:hralign="center" o:hrstd="t" o:hr="t"/>
        </w:pict>
      </w:r>
    </w:p>
    <w:p>
      <w:pPr>
        <w:pStyle w:val="Heading2"/>
      </w:pPr>
      <w:r>
        <w:rPr>
          <w:b/>
          <w:bCs/>
        </w:rPr>
        <w:t xml:space="preserve">VIII. Future Research Directions and Conclusion</w:t>
      </w:r>
    </w:p>
    <w:p>
      <w:pPr>
        <w:pStyle w:val="Heading3"/>
      </w:pPr>
      <w:r>
        <w:rPr>
          <w:b/>
          <w:bCs/>
        </w:rPr>
        <w:t xml:space="preserve">A. Emerging Research Challenges</w:t>
      </w:r>
    </w:p>
    <w:p>
      <w:pPr>
        <w:pStyle w:val="FirstParagraph"/>
      </w:pPr>
      <w:r>
        <w:t xml:space="preserve">Several critical research challenges must be addressed to enable broader adoption and safer deployment of autonomous enterprise decision systems:</w:t>
      </w:r>
    </w:p>
    <w:p>
      <w:pPr>
        <w:pStyle w:val="BodyText"/>
      </w:pPr>
      <w:r>
        <w:rPr>
          <w:b/>
          <w:bCs/>
        </w:rPr>
        <w:t xml:space="preserve">1. Compositional Reasoning and Multi-Scale Integration</w:t>
      </w:r>
      <w:r>
        <w:t xml:space="preserve">: Most current autonomous systems operate primarily at single temporal and spatial scales. Future systems must integrate reasoning across multiple scales simultaneously—from real-time operational decisions to strategic planning horizons, from individual transaction-level decisions to enterprise-wide portfolio optimization—while maintaining consistency and avoiding cascading errors across scales</w:t>
      </w:r>
      <w:r>
        <w:t xml:space="preserve"> </w:t>
      </w:r>
      <w:hyperlink w:anchor="ref-patrik2026">
        <w:r>
          <w:rPr>
            <w:rStyle w:val="Hyperlink"/>
          </w:rPr>
          <w:t xml:space="preserve">[63]</w:t>
        </w:r>
      </w:hyperlink>
      <w:r>
        <w:t xml:space="preserve">.</w:t>
      </w:r>
    </w:p>
    <w:p>
      <w:pPr>
        <w:pStyle w:val="BodyText"/>
      </w:pPr>
      <w:r>
        <w:rPr>
          <w:b/>
          <w:bCs/>
        </w:rPr>
        <w:t xml:space="preserve">2. Causal Reasoning and Counterfactual Analysis</w:t>
      </w:r>
      <w:r>
        <w:t xml:space="preserve">: Current systems excel at correlational reasoning but struggle with causal reasoning—understanding not just what is associated with what, but why certain decisions lead to particular outcomes. Advancing causal reasoning capabilities would enable more robust policy learning, better generalization to new environments, and more reliable counterfactual analysis (what would happen if we made a different decision?)</w:t>
      </w:r>
      <w:r>
        <w:t xml:space="preserve"> </w:t>
      </w:r>
      <w:hyperlink w:anchor="ref-rodrigo2025">
        <w:r>
          <w:rPr>
            <w:rStyle w:val="Hyperlink"/>
          </w:rPr>
          <w:t xml:space="preserve">[11]</w:t>
        </w:r>
      </w:hyperlink>
      <w:r>
        <w:t xml:space="preserve">.</w:t>
      </w:r>
    </w:p>
    <w:p>
      <w:pPr>
        <w:pStyle w:val="BodyText"/>
      </w:pPr>
      <w:r>
        <w:rPr>
          <w:b/>
          <w:bCs/>
        </w:rPr>
        <w:t xml:space="preserve">3. Robustness to Distribution Shift</w:t>
      </w:r>
      <w:r>
        <w:t xml:space="preserve">: Machine learning systems trained on historical data often degrade when operational conditions diverge from training conditions. Research into robust optimization, domain adaptation, and continual learning will be essential for deploying autonomous systems in dynamic, non-stationary environments like enterprise operations</w:t>
      </w:r>
      <w:r>
        <w:t xml:space="preserve"> </w:t>
      </w:r>
      <w:hyperlink w:anchor="ref-enlu2024">
        <w:r>
          <w:rPr>
            <w:rStyle w:val="Hyperlink"/>
          </w:rPr>
          <w:t xml:space="preserve">[33]</w:t>
        </w:r>
      </w:hyperlink>
      <w:r>
        <w:t xml:space="preserve">.</w:t>
      </w:r>
    </w:p>
    <w:p>
      <w:pPr>
        <w:pStyle w:val="BodyText"/>
      </w:pPr>
      <w:r>
        <w:rPr>
          <w:b/>
          <w:bCs/>
        </w:rPr>
        <w:t xml:space="preserve">4. Human-AI Collaboration and Complementary Expertise</w:t>
      </w:r>
      <w:r>
        <w:t xml:space="preserve">: Rather than pursuing full autonomy, future work should focus on human-AI teams where human judgment and machine capabilities complement each other. This requires developing interaction modalities, explanation frameworks, and coordination mechanisms enabling humans and machines to work effectively as partners</w:t>
      </w:r>
      <w:r>
        <w:t xml:space="preserve"> </w:t>
      </w:r>
      <w:hyperlink w:anchor="ref-pramod2025">
        <w:r>
          <w:rPr>
            <w:rStyle w:val="Hyperlink"/>
          </w:rPr>
          <w:t xml:space="preserve">[64]</w:t>
        </w:r>
      </w:hyperlink>
      <w:r>
        <w:t xml:space="preserve">.</w:t>
      </w:r>
    </w:p>
    <w:p>
      <w:pPr>
        <w:pStyle w:val="BodyText"/>
      </w:pPr>
      <w:r>
        <w:rPr>
          <w:b/>
          <w:bCs/>
        </w:rPr>
        <w:t xml:space="preserve">5. Federated and Decentralized AI</w:t>
      </w:r>
      <w:r>
        <w:t xml:space="preserve">: Enabling multiple organizations to collectively benefit from AI without requiring data sharing or centralized control requires advances in federated learning, differential privacy, and decentralized coordination mechanisms</w:t>
      </w:r>
      <w:r>
        <w:t xml:space="preserve"> </w:t>
      </w:r>
      <w:hyperlink w:anchor="ref-amlie2025">
        <w:r>
          <w:rPr>
            <w:rStyle w:val="Hyperlink"/>
          </w:rPr>
          <w:t xml:space="preserve">[36]</w:t>
        </w:r>
      </w:hyperlink>
      <w:r>
        <w:t xml:space="preserve">.</w:t>
      </w:r>
    </w:p>
    <w:p>
      <w:pPr>
        <w:pStyle w:val="Heading3"/>
      </w:pPr>
      <w:r>
        <w:rPr>
          <w:b/>
          <w:bCs/>
        </w:rPr>
        <w:t xml:space="preserve">B. Synthesis and Future Outlook</w:t>
      </w:r>
    </w:p>
    <w:p>
      <w:pPr>
        <w:pStyle w:val="FirstParagraph"/>
      </w:pPr>
      <w:r>
        <w:t xml:space="preserve">The evolution from data-driven enterprises to continuously optimized AI-assisted enterprises represents a fundamental transformation in organizational decision-making capability. Rather than treating analytics as primarily a business intelligence function designed to inform human decision-makers, continuously optimized enterprises embed autonomous decision systems throughout organizational operations, enabling real-time adaptation, multi-objective optimization, and coordination at scales and speeds impossible through human decision-making alone.</w:t>
      </w:r>
    </w:p>
    <w:p>
      <w:pPr>
        <w:pStyle w:val="BodyText"/>
      </w:pPr>
      <w:r>
        <w:t xml:space="preserve">This transformation is not merely technical. It requires fundamental restructuring of organizational governance, accountability mechanisms, and workforce composition. It demands new approaches to risk management, explainability, and trustworthiness that go beyond existing best practices in software engineering and enterprise architecture. It raises profound questions about the role of human judgment and authority in organizations increasingly reliant on autonomous systems.</w:t>
      </w:r>
    </w:p>
    <w:p>
      <w:pPr>
        <w:pStyle w:val="BodyText"/>
      </w:pPr>
      <w:r>
        <w:t xml:space="preserve">The technologies enabling this transformation are not purely speculative; they exist today in some of the most sophisticated enterprise implementations. Digital twins continuously monitor operational systems and predict failures before they occur. Knowledge graphs enable complex reasoning about relationships and constraints that would overwhelm human analysts. Large language models enable natural language interaction with complex systems. Reinforcement learning agents continuously optimize policies in response to environmental feedback.</w:t>
      </w:r>
    </w:p>
    <w:p>
      <w:pPr>
        <w:pStyle w:val="BodyText"/>
      </w:pPr>
      <w:r>
        <w:t xml:space="preserve">However, moving from these pioneering implementations to broader enterprise adoption will require progress on multiple fronts: semantic standardization enabling data integration across organizational silos; governance frameworks clarifying accountability and decision authority when autonomous systems make consequential choices; trustworthiness mechanisms enabling organizations to deploy autonomous systems while maintaining appropriate safeguards; and workforce transformation preparing employees for the roles that remain uniquely human in an AI-augmented world.</w:t>
      </w:r>
    </w:p>
    <w:p>
      <w:pPr>
        <w:pStyle w:val="BodyText"/>
      </w:pPr>
      <w:r>
        <w:t xml:space="preserve">For government, defense, aerospace, and critical infrastructure sectors, the implications are particularly profound. Autonomous decision systems offer potential to improve response times, manage complexity that exceeds human cognitive capacity, and coordinate activity across distributed systems. Simultaneously, they introduce risks of cascading failures, vulnerabilities to adversarial attack, and potential for harm if systems diverge from their intended purposes. Future research and policy development must focus on realizing the benefits of autonomous decision systems while establishing robust governance mechanisms that keep autonomous systems subordinate to human authority and aligned with societal values.</w:t>
      </w:r>
    </w:p>
    <w:p>
      <w:r>
        <w:pict>
          <v:rect style="width:0;height:1.5pt" o:hralign="center" o:hrstd="t" o:hr="t"/>
        </w:pict>
      </w:r>
    </w:p>
    <w:p>
      <w:pPr>
        <w:pStyle w:val="Heading2"/>
      </w:pPr>
      <w:r>
        <w:rPr>
          <w:b/>
          <w:bCs/>
        </w:rPr>
        <w:t xml:space="preserve">References and Primary Sources</w:t>
      </w:r>
    </w:p>
    <w:p>
      <w:pPr>
        <w:pStyle w:val="FirstParagraph"/>
      </w:pPr>
      <w:r>
        <w:t xml:space="preserve">The analysis synthesized 150+ peer-reviewed papers spanning autonomous decision systems, knowledge graphs, large language models, digital twins, optimization, organizational change management, critical infrastructure security, and policy governance, published between 2020-2026. Key foundational works cited include:</w:t>
      </w:r>
    </w:p>
    <w:p>
      <w:pPr>
        <w:pStyle w:val="BodyText"/>
      </w:pPr>
      <w:hyperlink w:anchor="ref-dadhimukh2026">
        <w:r>
          <w:rPr>
            <w:rStyle w:val="Hyperlink"/>
          </w:rPr>
          <w:t xml:space="preserve">[1]</w:t>
        </w:r>
      </w:hyperlink>
      <w:r>
        <w:t xml:space="preserve">,</w:t>
      </w:r>
      <w:r>
        <w:t xml:space="preserve"> </w:t>
      </w:r>
      <w:hyperlink w:anchor="ref-saiyam2025">
        <w:r>
          <w:rPr>
            <w:rStyle w:val="Hyperlink"/>
          </w:rPr>
          <w:t xml:space="preserve">[2]</w:t>
        </w:r>
      </w:hyperlink>
      <w:r>
        <w:t xml:space="preserve">,</w:t>
      </w:r>
      <w:r>
        <w:t xml:space="preserve"> </w:t>
      </w:r>
      <w:hyperlink w:anchor="ref-umidjon2025">
        <w:r>
          <w:rPr>
            <w:rStyle w:val="Hyperlink"/>
          </w:rPr>
          <w:t xml:space="preserve">[3]</w:t>
        </w:r>
      </w:hyperlink>
      <w:r>
        <w:t xml:space="preserve">,</w:t>
      </w:r>
      <w:r>
        <w:t xml:space="preserve"> </w:t>
      </w:r>
      <w:hyperlink w:anchor="ref-sathish2025">
        <w:r>
          <w:rPr>
            <w:rStyle w:val="Hyperlink"/>
          </w:rPr>
          <w:t xml:space="preserve">[4]</w:t>
        </w:r>
      </w:hyperlink>
      <w:r>
        <w:t xml:space="preserve">,</w:t>
      </w:r>
      <w:r>
        <w:t xml:space="preserve"> </w:t>
      </w:r>
      <w:hyperlink w:anchor="ref-sarow2025">
        <w:r>
          <w:rPr>
            <w:rStyle w:val="Hyperlink"/>
          </w:rPr>
          <w:t xml:space="preserve">[5]</w:t>
        </w:r>
      </w:hyperlink>
      <w:r>
        <w:t xml:space="preserve">,</w:t>
      </w:r>
      <w:r>
        <w:t xml:space="preserve"> </w:t>
      </w:r>
      <w:hyperlink w:anchor="ref-hema2025">
        <w:r>
          <w:rPr>
            <w:rStyle w:val="Hyperlink"/>
          </w:rPr>
          <w:t xml:space="preserve">[6]</w:t>
        </w:r>
      </w:hyperlink>
      <w:r>
        <w:t xml:space="preserve">,</w:t>
      </w:r>
      <w:r>
        <w:t xml:space="preserve"> </w:t>
      </w:r>
      <w:hyperlink w:anchor="ref-mohd2025">
        <w:r>
          <w:rPr>
            <w:rStyle w:val="Hyperlink"/>
          </w:rPr>
          <w:t xml:space="preserve">[7]</w:t>
        </w:r>
      </w:hyperlink>
      <w:r>
        <w:t xml:space="preserve">,</w:t>
      </w:r>
      <w:r>
        <w:t xml:space="preserve"> </w:t>
      </w:r>
      <w:hyperlink w:anchor="ref-rajeev2025">
        <w:r>
          <w:rPr>
            <w:rStyle w:val="Hyperlink"/>
          </w:rPr>
          <w:t xml:space="preserve">[8]</w:t>
        </w:r>
      </w:hyperlink>
      <w:r>
        <w:t xml:space="preserve">,</w:t>
      </w:r>
      <w:r>
        <w:t xml:space="preserve"> </w:t>
      </w:r>
      <w:hyperlink w:anchor="ref-ravindra2023">
        <w:r>
          <w:rPr>
            <w:rStyle w:val="Hyperlink"/>
          </w:rPr>
          <w:t xml:space="preserve">[9]</w:t>
        </w:r>
      </w:hyperlink>
      <w:r>
        <w:t xml:space="preserve">,</w:t>
      </w:r>
      <w:r>
        <w:t xml:space="preserve"> </w:t>
      </w:r>
      <w:hyperlink w:anchor="ref-avadhut2025">
        <w:r>
          <w:rPr>
            <w:rStyle w:val="Hyperlink"/>
          </w:rPr>
          <w:t xml:space="preserve">[10]</w:t>
        </w:r>
      </w:hyperlink>
      <w:r>
        <w:t xml:space="preserve">,</w:t>
      </w:r>
      <w:r>
        <w:t xml:space="preserve"> </w:t>
      </w:r>
      <w:hyperlink w:anchor="ref-rodrigo2025">
        <w:r>
          <w:rPr>
            <w:rStyle w:val="Hyperlink"/>
          </w:rPr>
          <w:t xml:space="preserve">[11]</w:t>
        </w:r>
      </w:hyperlink>
      <w:r>
        <w:t xml:space="preserve">,</w:t>
      </w:r>
      <w:r>
        <w:t xml:space="preserve"> </w:t>
      </w:r>
      <w:hyperlink w:anchor="ref-hongfei2025">
        <w:r>
          <w:rPr>
            <w:rStyle w:val="Hyperlink"/>
          </w:rPr>
          <w:t xml:space="preserve">[12]</w:t>
        </w:r>
      </w:hyperlink>
      <w:r>
        <w:t xml:space="preserve">,</w:t>
      </w:r>
      <w:r>
        <w:t xml:space="preserve"> </w:t>
      </w:r>
      <w:hyperlink w:anchor="ref-sili2025">
        <w:r>
          <w:rPr>
            <w:rStyle w:val="Hyperlink"/>
          </w:rPr>
          <w:t xml:space="preserve">[15]</w:t>
        </w:r>
      </w:hyperlink>
      <w:r>
        <w:t xml:space="preserve">,</w:t>
      </w:r>
      <w:r>
        <w:t xml:space="preserve"> </w:t>
      </w:r>
      <w:hyperlink w:anchor="ref-juan2023">
        <w:r>
          <w:rPr>
            <w:rStyle w:val="Hyperlink"/>
          </w:rPr>
          <w:t xml:space="preserve">[16]</w:t>
        </w:r>
      </w:hyperlink>
      <w:r>
        <w:t xml:space="preserve">,</w:t>
      </w:r>
      <w:r>
        <w:t xml:space="preserve"> </w:t>
      </w:r>
      <w:hyperlink w:anchor="ref-s2025">
        <w:r>
          <w:rPr>
            <w:rStyle w:val="Hyperlink"/>
          </w:rPr>
          <w:t xml:space="preserve">[18]</w:t>
        </w:r>
      </w:hyperlink>
      <w:r>
        <w:t xml:space="preserve">,</w:t>
      </w:r>
      <w:r>
        <w:t xml:space="preserve"> </w:t>
      </w:r>
      <w:hyperlink w:anchor="ref-prasanna2024a">
        <w:r>
          <w:rPr>
            <w:rStyle w:val="Hyperlink"/>
          </w:rPr>
          <w:t xml:space="preserve">[30]</w:t>
        </w:r>
      </w:hyperlink>
      <w:r>
        <w:t xml:space="preserve">,</w:t>
      </w:r>
      <w:r>
        <w:t xml:space="preserve"> </w:t>
      </w:r>
      <w:hyperlink w:anchor="ref-enlu2024">
        <w:r>
          <w:rPr>
            <w:rStyle w:val="Hyperlink"/>
          </w:rPr>
          <w:t xml:space="preserve">[33]</w:t>
        </w:r>
      </w:hyperlink>
      <w:r>
        <w:t xml:space="preserve">,</w:t>
      </w:r>
      <w:r>
        <w:t xml:space="preserve"> </w:t>
      </w:r>
      <w:hyperlink w:anchor="ref-muppidi2024">
        <w:r>
          <w:rPr>
            <w:rStyle w:val="Hyperlink"/>
          </w:rPr>
          <w:t xml:space="preserve">[34]</w:t>
        </w:r>
      </w:hyperlink>
      <w:r>
        <w:t xml:space="preserve">,</w:t>
      </w:r>
      <w:r>
        <w:t xml:space="preserve"> </w:t>
      </w:r>
      <w:hyperlink w:anchor="ref-amlie2025">
        <w:r>
          <w:rPr>
            <w:rStyle w:val="Hyperlink"/>
          </w:rPr>
          <w:t xml:space="preserve">[36]</w:t>
        </w:r>
      </w:hyperlink>
      <w:r>
        <w:t xml:space="preserve">,</w:t>
      </w:r>
      <w:r>
        <w:t xml:space="preserve"> </w:t>
      </w:r>
      <w:hyperlink w:anchor="ref-behrouz2025">
        <w:r>
          <w:rPr>
            <w:rStyle w:val="Hyperlink"/>
          </w:rPr>
          <w:t xml:space="preserve">[37]</w:t>
        </w:r>
      </w:hyperlink>
      <w:r>
        <w:t xml:space="preserve">,</w:t>
      </w:r>
      <w:r>
        <w:t xml:space="preserve"> </w:t>
      </w:r>
      <w:hyperlink w:anchor="ref-b2026">
        <w:r>
          <w:rPr>
            <w:rStyle w:val="Hyperlink"/>
          </w:rPr>
          <w:t xml:space="preserve">[38]</w:t>
        </w:r>
      </w:hyperlink>
      <w:r>
        <w:t xml:space="preserve">,</w:t>
      </w:r>
      <w:r>
        <w:t xml:space="preserve"> </w:t>
      </w:r>
      <w:hyperlink w:anchor="ref-yansen2025">
        <w:r>
          <w:rPr>
            <w:rStyle w:val="Hyperlink"/>
          </w:rPr>
          <w:t xml:space="preserve">[40]</w:t>
        </w:r>
      </w:hyperlink>
      <w:r>
        <w:t xml:space="preserve">,</w:t>
      </w:r>
      <w:r>
        <w:t xml:space="preserve"> </w:t>
      </w:r>
      <w:hyperlink w:anchor="ref-jiafu2025">
        <w:r>
          <w:rPr>
            <w:rStyle w:val="Hyperlink"/>
          </w:rPr>
          <w:t xml:space="preserve">[41]</w:t>
        </w:r>
      </w:hyperlink>
      <w:r>
        <w:t xml:space="preserve">,</w:t>
      </w:r>
      <w:r>
        <w:t xml:space="preserve"> </w:t>
      </w:r>
      <w:hyperlink w:anchor="ref-m2026">
        <w:r>
          <w:rPr>
            <w:rStyle w:val="Hyperlink"/>
          </w:rPr>
          <w:t xml:space="preserve">[46]</w:t>
        </w:r>
      </w:hyperlink>
      <w:r>
        <w:t xml:space="preserve">,</w:t>
      </w:r>
      <w:r>
        <w:t xml:space="preserve"> </w:t>
      </w:r>
      <w:hyperlink w:anchor="ref-rajeshkumar2025">
        <w:r>
          <w:rPr>
            <w:rStyle w:val="Hyperlink"/>
          </w:rPr>
          <w:t xml:space="preserve">[47]</w:t>
        </w:r>
      </w:hyperlink>
      <w:r>
        <w:t xml:space="preserve">,</w:t>
      </w:r>
      <w:r>
        <w:t xml:space="preserve"> </w:t>
      </w:r>
      <w:hyperlink w:anchor="ref-santanu2026">
        <w:r>
          <w:rPr>
            <w:rStyle w:val="Hyperlink"/>
          </w:rPr>
          <w:t xml:space="preserve">[49]</w:t>
        </w:r>
      </w:hyperlink>
      <w:r>
        <w:t xml:space="preserve">,</w:t>
      </w:r>
      <w:r>
        <w:t xml:space="preserve"> </w:t>
      </w:r>
      <w:hyperlink w:anchor="ref-prudhvi2025">
        <w:r>
          <w:rPr>
            <w:rStyle w:val="Hyperlink"/>
          </w:rPr>
          <w:t xml:space="preserve">[51]</w:t>
        </w:r>
      </w:hyperlink>
      <w:r>
        <w:t xml:space="preserve">,</w:t>
      </w:r>
      <w:r>
        <w:t xml:space="preserve"> </w:t>
      </w:r>
      <w:hyperlink w:anchor="ref-kumar2025">
        <w:r>
          <w:rPr>
            <w:rStyle w:val="Hyperlink"/>
          </w:rPr>
          <w:t xml:space="preserve">[52]</w:t>
        </w:r>
      </w:hyperlink>
      <w:r>
        <w:t xml:space="preserve">,</w:t>
      </w:r>
      <w:r>
        <w:t xml:space="preserve"> </w:t>
      </w:r>
      <w:hyperlink w:anchor="ref-kristen2026">
        <w:r>
          <w:rPr>
            <w:rStyle w:val="Hyperlink"/>
          </w:rPr>
          <w:t xml:space="preserve">[53]</w:t>
        </w:r>
      </w:hyperlink>
      <w:r>
        <w:t xml:space="preserve">,</w:t>
      </w:r>
      <w:r>
        <w:t xml:space="preserve"> </w:t>
      </w:r>
      <w:hyperlink w:anchor="ref-m2025">
        <w:r>
          <w:rPr>
            <w:rStyle w:val="Hyperlink"/>
          </w:rPr>
          <w:t xml:space="preserve">[54]</w:t>
        </w:r>
      </w:hyperlink>
      <w:r>
        <w:t xml:space="preserve">,</w:t>
      </w:r>
      <w:r>
        <w:t xml:space="preserve"> </w:t>
      </w:r>
      <w:hyperlink w:anchor="ref-j2025">
        <w:r>
          <w:rPr>
            <w:rStyle w:val="Hyperlink"/>
          </w:rPr>
          <w:t xml:space="preserve">[55]</w:t>
        </w:r>
      </w:hyperlink>
      <w:r>
        <w:t xml:space="preserve">,</w:t>
      </w:r>
      <w:r>
        <w:t xml:space="preserve"> </w:t>
      </w:r>
      <w:hyperlink w:anchor="ref-youngbok2026">
        <w:r>
          <w:rPr>
            <w:rStyle w:val="Hyperlink"/>
          </w:rPr>
          <w:t xml:space="preserve">[57]</w:t>
        </w:r>
      </w:hyperlink>
      <w:r>
        <w:t xml:space="preserve">,</w:t>
      </w:r>
      <w:r>
        <w:t xml:space="preserve"> </w:t>
      </w:r>
      <w:hyperlink w:anchor="ref-p2025">
        <w:r>
          <w:rPr>
            <w:rStyle w:val="Hyperlink"/>
          </w:rPr>
          <w:t xml:space="preserve">[58]</w:t>
        </w:r>
      </w:hyperlink>
      <w:r>
        <w:t xml:space="preserve">,</w:t>
      </w:r>
      <w:r>
        <w:t xml:space="preserve"> </w:t>
      </w:r>
      <w:hyperlink w:anchor="ref-j2024">
        <w:r>
          <w:rPr>
            <w:rStyle w:val="Hyperlink"/>
          </w:rPr>
          <w:t xml:space="preserve">[59]</w:t>
        </w:r>
      </w:hyperlink>
      <w:r>
        <w:t xml:space="preserve">,</w:t>
      </w:r>
      <w:r>
        <w:t xml:space="preserve"> </w:t>
      </w:r>
      <w:hyperlink w:anchor="ref-j2025a">
        <w:r>
          <w:rPr>
            <w:rStyle w:val="Hyperlink"/>
          </w:rPr>
          <w:t xml:space="preserve">[61]</w:t>
        </w:r>
      </w:hyperlink>
      <w:r>
        <w:t xml:space="preserve">,</w:t>
      </w:r>
      <w:r>
        <w:t xml:space="preserve"> </w:t>
      </w:r>
      <w:hyperlink w:anchor="ref-ian2025">
        <w:r>
          <w:rPr>
            <w:rStyle w:val="Hyperlink"/>
          </w:rPr>
          <w:t xml:space="preserve">[62]</w:t>
        </w:r>
      </w:hyperlink>
      <w:r>
        <w:t xml:space="preserve">,</w:t>
      </w:r>
      <w:r>
        <w:t xml:space="preserve"> </w:t>
      </w:r>
      <w:hyperlink w:anchor="ref-pramod2025">
        <w:r>
          <w:rPr>
            <w:rStyle w:val="Hyperlink"/>
          </w:rPr>
          <w:t xml:space="preserve">[64]</w:t>
        </w:r>
      </w:hyperlink>
      <w:r>
        <w:t xml:space="preserve">,</w:t>
      </w:r>
      <w:r>
        <w:t xml:space="preserve"> </w:t>
      </w:r>
      <w:hyperlink w:anchor="ref-toluwanimi2024">
        <w:r>
          <w:rPr>
            <w:rStyle w:val="Hyperlink"/>
          </w:rPr>
          <w:t xml:space="preserve">[65]</w:t>
        </w:r>
      </w:hyperlink>
      <w:r>
        <w:t xml:space="preserve">.</w:t>
      </w:r>
    </w:p>
    <w:p>
      <w:r>
        <w:pict>
          <v:rect style="width:0;height:1.5pt" o:hralign="center" o:hrstd="t" o:hr="t"/>
        </w:pict>
      </w:r>
    </w:p>
    <w:p>
      <w:pPr>
        <w:pStyle w:val="Heading2"/>
      </w:pPr>
      <w:r>
        <w:t xml:space="preserve">References</w:t>
      </w:r>
    </w:p>
    <w:p>
      <w:pPr>
        <w:pStyle w:val="FirstParagraph"/>
      </w:pPr>
      <w:r>
        <w:t xml:space="preserve">[1]</w:t>
      </w:r>
      <w:r>
        <w:t xml:space="preserve"> </w:t>
      </w:r>
      <w:r>
        <w:t xml:space="preserve">	</w:t>
      </w:r>
      <w:r>
        <w:t xml:space="preserve">D. U. Yadav,</w:t>
      </w:r>
      <w:r>
        <w:t xml:space="preserve"> </w:t>
      </w:r>
      <w:r>
        <w:t xml:space="preserve">“Ontology driven data quality management for agentic ai systems: A framework for intelligent decision-making in enterprise environments,”</w:t>
      </w:r>
      <w:r>
        <w:t xml:space="preserve"> </w:t>
      </w:r>
      <w:r>
        <w:rPr>
          <w:i/>
          <w:iCs/>
        </w:rPr>
        <w:t xml:space="preserve">International Research Journal on Advanced Engineering and Management (IRJAEM)</w:t>
      </w:r>
      <w:r>
        <w:t xml:space="preserve">, May 2026, doi:</w:t>
      </w:r>
      <w:r>
        <w:t xml:space="preserve"> </w:t>
      </w:r>
      <w:hyperlink r:id="rId9">
        <w:r>
          <w:rPr>
            <w:rStyle w:val="Hyperlink"/>
          </w:rPr>
          <w:t xml:space="preserve">10.47392/irjaem.2026.0233</w:t>
        </w:r>
      </w:hyperlink>
      <w:r>
        <w:t xml:space="preserve">.</w:t>
      </w:r>
    </w:p>
    <w:p>
      <w:pPr>
        <w:pStyle w:val="BodyText"/>
      </w:pPr>
      <w:r>
        <w:t xml:space="preserve">[2]</w:t>
      </w:r>
      <w:r>
        <w:t xml:space="preserve"> </w:t>
      </w:r>
      <w:r>
        <w:t xml:space="preserve">	</w:t>
      </w:r>
      <w:r>
        <w:t xml:space="preserve">S. Arora,</w:t>
      </w:r>
      <w:r>
        <w:t xml:space="preserve"> </w:t>
      </w:r>
      <w:r>
        <w:t xml:space="preserve">“Transforming AI decision support system with knowledge graphs &amp; CAG,”</w:t>
      </w:r>
      <w:r>
        <w:t xml:space="preserve"> </w:t>
      </w:r>
      <w:r>
        <w:rPr>
          <w:i/>
          <w:iCs/>
        </w:rPr>
        <w:t xml:space="preserve">International Journal on Engineering Artificial Intelligence Management, Decision Support, and Policies</w:t>
      </w:r>
      <w:r>
        <w:t xml:space="preserve">, May 2025, doi:</w:t>
      </w:r>
      <w:r>
        <w:t xml:space="preserve"> </w:t>
      </w:r>
      <w:hyperlink r:id="rId10">
        <w:r>
          <w:rPr>
            <w:rStyle w:val="Hyperlink"/>
          </w:rPr>
          <w:t xml:space="preserve">10.63503/j.ijaimd.2025.110</w:t>
        </w:r>
      </w:hyperlink>
      <w:r>
        <w:t xml:space="preserve">.</w:t>
      </w:r>
    </w:p>
    <w:p>
      <w:pPr>
        <w:pStyle w:val="BodyText"/>
      </w:pPr>
      <w:r>
        <w:t xml:space="preserve">[3]</w:t>
      </w:r>
      <w:r>
        <w:t xml:space="preserve"> </w:t>
      </w:r>
      <w:r>
        <w:t xml:space="preserve">	</w:t>
      </w:r>
      <w:r>
        <w:t xml:space="preserve">U. Saidkhujaev,</w:t>
      </w:r>
      <w:r>
        <w:t xml:space="preserve"> </w:t>
      </w:r>
      <w:r>
        <w:t xml:space="preserve">“From dashboards to decision-making agents: Integrating agentic AI into business intelligence systems for enterprise transformation,”</w:t>
      </w:r>
      <w:r>
        <w:t xml:space="preserve"> </w:t>
      </w:r>
      <w:r>
        <w:rPr>
          <w:i/>
          <w:iCs/>
        </w:rPr>
        <w:t xml:space="preserve">Academia Open</w:t>
      </w:r>
      <w:r>
        <w:t xml:space="preserve">, July 2025, doi:</w:t>
      </w:r>
      <w:r>
        <w:t xml:space="preserve"> </w:t>
      </w:r>
      <w:hyperlink r:id="rId11">
        <w:r>
          <w:rPr>
            <w:rStyle w:val="Hyperlink"/>
          </w:rPr>
          <w:t xml:space="preserve">10.21070/acopen.10.2025.11734</w:t>
        </w:r>
      </w:hyperlink>
      <w:r>
        <w:t xml:space="preserve">.</w:t>
      </w:r>
    </w:p>
    <w:p>
      <w:pPr>
        <w:pStyle w:val="BodyText"/>
      </w:pPr>
      <w:r>
        <w:t xml:space="preserve">[4]</w:t>
      </w:r>
      <w:r>
        <w:t xml:space="preserve"> </w:t>
      </w:r>
      <w:r>
        <w:t xml:space="preserve">	</w:t>
      </w:r>
      <w:r>
        <w:t xml:space="preserve">S. K. Ramareddy,</w:t>
      </w:r>
      <w:r>
        <w:t xml:space="preserve"> </w:t>
      </w:r>
      <w:r>
        <w:t xml:space="preserve">“Semantic data lakes: Integrating big data and knowledge graphs for enterprise decision support,”</w:t>
      </w:r>
      <w:r>
        <w:t xml:space="preserve"> </w:t>
      </w:r>
      <w:r>
        <w:rPr>
          <w:i/>
          <w:iCs/>
        </w:rPr>
        <w:t xml:space="preserve">International journal on advanced electrical and computer engineering</w:t>
      </w:r>
      <w:r>
        <w:t xml:space="preserve">, Aug. 2025, doi:</w:t>
      </w:r>
      <w:r>
        <w:t xml:space="preserve"> </w:t>
      </w:r>
      <w:hyperlink r:id="rId12">
        <w:r>
          <w:rPr>
            <w:rStyle w:val="Hyperlink"/>
          </w:rPr>
          <w:t xml:space="preserve">10.65521/ijaece.v14i1.881</w:t>
        </w:r>
      </w:hyperlink>
      <w:r>
        <w:t xml:space="preserve">.</w:t>
      </w:r>
    </w:p>
    <w:p>
      <w:pPr>
        <w:pStyle w:val="BodyText"/>
      </w:pPr>
      <w:r>
        <w:t xml:space="preserve">[5]</w:t>
      </w:r>
      <w:r>
        <w:t xml:space="preserve"> </w:t>
      </w:r>
      <w:r>
        <w:t xml:space="preserve">	</w:t>
      </w:r>
      <w:r>
        <w:t xml:space="preserve">S. Saeedi,</w:t>
      </w:r>
      <w:r>
        <w:t xml:space="preserve"> </w:t>
      </w:r>
      <w:r>
        <w:t xml:space="preserve">“Digital twins and their applications in modeling different levels of manufacturing systems: A review,”</w:t>
      </w:r>
      <w:r>
        <w:t xml:space="preserve"> </w:t>
      </w:r>
      <w:r>
        <w:rPr>
          <w:i/>
          <w:iCs/>
        </w:rPr>
        <w:t xml:space="preserve">arXiv.org</w:t>
      </w:r>
      <w:r>
        <w:t xml:space="preserve">, Nov. 2025, doi:</w:t>
      </w:r>
      <w:r>
        <w:t xml:space="preserve"> </w:t>
      </w:r>
      <w:hyperlink r:id="rId13">
        <w:r>
          <w:rPr>
            <w:rStyle w:val="Hyperlink"/>
          </w:rPr>
          <w:t xml:space="preserve">10.48550/arXiv.2511.06119</w:t>
        </w:r>
      </w:hyperlink>
      <w:r>
        <w:t xml:space="preserve">.</w:t>
      </w:r>
    </w:p>
    <w:p>
      <w:pPr>
        <w:pStyle w:val="BodyText"/>
      </w:pPr>
      <w:r>
        <w:t xml:space="preserve">[6]</w:t>
      </w:r>
      <w:r>
        <w:t xml:space="preserve"> </w:t>
      </w:r>
      <w:r>
        <w:t xml:space="preserve">	</w:t>
      </w:r>
      <w:r>
        <w:t xml:space="preserve">H. L. Boddupally,</w:t>
      </w:r>
      <w:r>
        <w:t xml:space="preserve"> </w:t>
      </w:r>
      <w:r>
        <w:t xml:space="preserve">“Self-improving enterprise platforms using learning loops and AI-driven orchestration,”</w:t>
      </w:r>
      <w:r>
        <w:t xml:space="preserve"> </w:t>
      </w:r>
      <w:r>
        <w:rPr>
          <w:i/>
          <w:iCs/>
        </w:rPr>
        <w:t xml:space="preserve">FMDB Transactions on Sustainable Intelligent Networks</w:t>
      </w:r>
      <w:r>
        <w:t xml:space="preserve">, Sept. 2025, doi:</w:t>
      </w:r>
      <w:r>
        <w:t xml:space="preserve"> </w:t>
      </w:r>
      <w:hyperlink r:id="rId14">
        <w:r>
          <w:rPr>
            <w:rStyle w:val="Hyperlink"/>
          </w:rPr>
          <w:t xml:space="preserve">10.69888/ftsin.2025.000538</w:t>
        </w:r>
      </w:hyperlink>
      <w:r>
        <w:t xml:space="preserve">.</w:t>
      </w:r>
    </w:p>
    <w:p>
      <w:pPr>
        <w:pStyle w:val="BodyText"/>
      </w:pPr>
      <w:r>
        <w:t xml:space="preserve">[7]</w:t>
      </w:r>
      <w:r>
        <w:t xml:space="preserve"> </w:t>
      </w:r>
      <w:r>
        <w:t xml:space="preserve">	</w:t>
      </w:r>
      <w:r>
        <w:t xml:space="preserve">M. N. Khan,</w:t>
      </w:r>
      <w:r>
        <w:t xml:space="preserve"> </w:t>
      </w:r>
      <w:r>
        <w:t xml:space="preserve">“Knowledge graphs for explainable big data decision making,”</w:t>
      </w:r>
      <w:r>
        <w:t xml:space="preserve"> </w:t>
      </w:r>
      <w:r>
        <w:rPr>
          <w:i/>
          <w:iCs/>
        </w:rPr>
        <w:t xml:space="preserve">International Journal of Research and Review in Applied Science, Humanities, and Technology</w:t>
      </w:r>
      <w:r>
        <w:t xml:space="preserve">, Oct. 2025, doi:</w:t>
      </w:r>
      <w:r>
        <w:t xml:space="preserve"> </w:t>
      </w:r>
      <w:hyperlink r:id="rId15">
        <w:r>
          <w:rPr>
            <w:rStyle w:val="Hyperlink"/>
          </w:rPr>
          <w:t xml:space="preserve">10.71143/jcbc8491</w:t>
        </w:r>
      </w:hyperlink>
      <w:r>
        <w:t xml:space="preserve">.</w:t>
      </w:r>
    </w:p>
    <w:p>
      <w:pPr>
        <w:pStyle w:val="BodyText"/>
      </w:pPr>
      <w:r>
        <w:t xml:space="preserve">[8]</w:t>
      </w:r>
      <w:r>
        <w:t xml:space="preserve"> </w:t>
      </w:r>
      <w:r>
        <w:t xml:space="preserve">	</w:t>
      </w:r>
      <w:r>
        <w:t xml:space="preserve">R. Kumar, K. Ishan, H. Kumar, and A. Singla,</w:t>
      </w:r>
      <w:r>
        <w:t xml:space="preserve"> </w:t>
      </w:r>
      <w:r>
        <w:t xml:space="preserve">“LLM-powered knowledge graphs for enterprise intelligence and analytics,”</w:t>
      </w:r>
      <w:r>
        <w:t xml:space="preserve"> </w:t>
      </w:r>
      <w:r>
        <w:rPr>
          <w:i/>
          <w:iCs/>
        </w:rPr>
        <w:t xml:space="preserve">International Conference on Recent Advances in Information Technology</w:t>
      </w:r>
      <w:r>
        <w:t xml:space="preserve">, Mar. 2025, doi:</w:t>
      </w:r>
      <w:r>
        <w:t xml:space="preserve"> </w:t>
      </w:r>
      <w:hyperlink r:id="rId16">
        <w:r>
          <w:rPr>
            <w:rStyle w:val="Hyperlink"/>
          </w:rPr>
          <w:t xml:space="preserve">10.1109/RAIT65068.2025.11088890</w:t>
        </w:r>
      </w:hyperlink>
      <w:r>
        <w:t xml:space="preserve">.</w:t>
      </w:r>
    </w:p>
    <w:p>
      <w:pPr>
        <w:pStyle w:val="BodyText"/>
      </w:pPr>
      <w:r>
        <w:t xml:space="preserve">[9]</w:t>
      </w:r>
      <w:r>
        <w:t xml:space="preserve"> </w:t>
      </w:r>
      <w:r>
        <w:t xml:space="preserve">	</w:t>
      </w:r>
      <w:r>
        <w:t xml:space="preserve">R. Khokrale,</w:t>
      </w:r>
      <w:r>
        <w:t xml:space="preserve"> </w:t>
      </w:r>
      <w:r>
        <w:t xml:space="preserve">“The role of digital twins in supply chain process simulation and optimization,”</w:t>
      </w:r>
      <w:r>
        <w:t xml:space="preserve"> </w:t>
      </w:r>
      <w:r>
        <w:rPr>
          <w:i/>
          <w:iCs/>
        </w:rPr>
        <w:t xml:space="preserve">International journal of computer technology and electronics communication</w:t>
      </w:r>
      <w:r>
        <w:t xml:space="preserve">, Sept. 2023, doi:</w:t>
      </w:r>
      <w:r>
        <w:t xml:space="preserve"> </w:t>
      </w:r>
      <w:hyperlink r:id="rId17">
        <w:r>
          <w:rPr>
            <w:rStyle w:val="Hyperlink"/>
          </w:rPr>
          <w:t xml:space="preserve">10.15680/ijctece.2023.0605009</w:t>
        </w:r>
      </w:hyperlink>
      <w:r>
        <w:t xml:space="preserve">.</w:t>
      </w:r>
    </w:p>
    <w:p>
      <w:pPr>
        <w:pStyle w:val="BodyText"/>
      </w:pPr>
      <w:r>
        <w:t xml:space="preserve">[10]</w:t>
      </w:r>
      <w:r>
        <w:t xml:space="preserve"> </w:t>
      </w:r>
      <w:r>
        <w:t xml:space="preserve">	</w:t>
      </w:r>
      <w:r>
        <w:t xml:space="preserve">A. Sardeshmukh, G. Jain, T. Tammali, S. Barat, and V. Kulkarni,</w:t>
      </w:r>
      <w:r>
        <w:t xml:space="preserve"> </w:t>
      </w:r>
      <w:r>
        <w:t xml:space="preserve">“Enabling inverse reasoning in enterprise digital twins using multi-objective bayesian optimization,”</w:t>
      </w:r>
      <w:r>
        <w:t xml:space="preserve"> </w:t>
      </w:r>
      <w:r>
        <w:rPr>
          <w:i/>
          <w:iCs/>
        </w:rPr>
        <w:t xml:space="preserve">2025 ACM/IEEE 28th International Conference on Model Driven Engineering Languages and Systems Companion (MODELS-C)</w:t>
      </w:r>
      <w:r>
        <w:t xml:space="preserve">, Oct. 2025, doi:</w:t>
      </w:r>
      <w:r>
        <w:t xml:space="preserve"> </w:t>
      </w:r>
      <w:hyperlink r:id="rId18">
        <w:r>
          <w:rPr>
            <w:rStyle w:val="Hyperlink"/>
          </w:rPr>
          <w:t xml:space="preserve">10.1109/MODELS-C68889.2025.00032</w:t>
        </w:r>
      </w:hyperlink>
      <w:r>
        <w:t xml:space="preserve">.</w:t>
      </w:r>
    </w:p>
    <w:p>
      <w:pPr>
        <w:pStyle w:val="BodyText"/>
      </w:pPr>
      <w:r>
        <w:t xml:space="preserve">[11]</w:t>
      </w:r>
      <w:r>
        <w:t xml:space="preserve"> </w:t>
      </w:r>
      <w:r>
        <w:t xml:space="preserve">	</w:t>
      </w:r>
      <w:r>
        <w:t xml:space="preserve">R. Ying, Q. Liu, Y. Wang, and Y. Xiao,</w:t>
      </w:r>
      <w:r>
        <w:t xml:space="preserve"> </w:t>
      </w:r>
      <w:r>
        <w:t xml:space="preserve">“AI-based causal reasoning over knowledge graphs for data-driven and intervention-oriented enterprise performance analysis,”</w:t>
      </w:r>
      <w:r>
        <w:t xml:space="preserve"> </w:t>
      </w:r>
      <w:r>
        <w:rPr>
          <w:i/>
          <w:iCs/>
        </w:rPr>
        <w:t xml:space="preserve">Proceedings of the 2025 6th International Conference on Computer Science and Management Technology</w:t>
      </w:r>
      <w:r>
        <w:t xml:space="preserve">, Dec. 2025, doi:</w:t>
      </w:r>
      <w:r>
        <w:t xml:space="preserve"> </w:t>
      </w:r>
      <w:hyperlink r:id="rId19">
        <w:r>
          <w:rPr>
            <w:rStyle w:val="Hyperlink"/>
          </w:rPr>
          <w:t xml:space="preserve">10.1145/3795154.3795280</w:t>
        </w:r>
      </w:hyperlink>
      <w:r>
        <w:t xml:space="preserve">.</w:t>
      </w:r>
    </w:p>
    <w:p>
      <w:pPr>
        <w:pStyle w:val="BodyText"/>
      </w:pPr>
      <w:r>
        <w:t xml:space="preserve">[12]</w:t>
      </w:r>
      <w:r>
        <w:t xml:space="preserve"> </w:t>
      </w:r>
      <w:r>
        <w:t xml:space="preserve">	</w:t>
      </w:r>
      <w:r>
        <w:t xml:space="preserve">H. Li, X. Zhang, and P. Zhang,</w:t>
      </w:r>
      <w:r>
        <w:t xml:space="preserve"> </w:t>
      </w:r>
      <w:r>
        <w:t xml:space="preserve">“Research on the application framework of knowledge graphs in enterprise risk identification and management: A case study of the financial industry,”</w:t>
      </w:r>
      <w:r>
        <w:t xml:space="preserve"> </w:t>
      </w:r>
      <w:r>
        <w:rPr>
          <w:i/>
          <w:iCs/>
        </w:rPr>
        <w:t xml:space="preserve">Proceedings of the 2025 2nd International Conference on Digital Economy and Computer Science</w:t>
      </w:r>
      <w:r>
        <w:t xml:space="preserve">, Oct. 2025, doi:</w:t>
      </w:r>
      <w:r>
        <w:t xml:space="preserve"> </w:t>
      </w:r>
      <w:hyperlink r:id="rId20">
        <w:r>
          <w:rPr>
            <w:rStyle w:val="Hyperlink"/>
          </w:rPr>
          <w:t xml:space="preserve">10.1145/3785706.3785796</w:t>
        </w:r>
      </w:hyperlink>
      <w:r>
        <w:t xml:space="preserve">.</w:t>
      </w:r>
    </w:p>
    <w:p>
      <w:pPr>
        <w:pStyle w:val="BodyText"/>
      </w:pPr>
      <w:r>
        <w:t xml:space="preserve">[13]</w:t>
      </w:r>
      <w:r>
        <w:t xml:space="preserve"> </w:t>
      </w:r>
      <w:r>
        <w:t xml:space="preserve">	</w:t>
      </w:r>
      <w:r>
        <w:t xml:space="preserve">R. Garimella, H. Y. Yip, R. Venkataramanan, A. P. Sheth, and A. P. Sheth,</w:t>
      </w:r>
      <w:r>
        <w:t xml:space="preserve"> </w:t>
      </w:r>
      <w:r>
        <w:t xml:space="preserve">“Building multimodal knowledge graphs: Automation for enterprise integration,”</w:t>
      </w:r>
      <w:r>
        <w:t xml:space="preserve"> </w:t>
      </w:r>
      <w:r>
        <w:rPr>
          <w:i/>
          <w:iCs/>
        </w:rPr>
        <w:t xml:space="preserve">IEEE Internet Computing</w:t>
      </w:r>
      <w:r>
        <w:t xml:space="preserve">, May 2025, doi:</w:t>
      </w:r>
      <w:r>
        <w:t xml:space="preserve"> </w:t>
      </w:r>
      <w:hyperlink r:id="rId21">
        <w:r>
          <w:rPr>
            <w:rStyle w:val="Hyperlink"/>
          </w:rPr>
          <w:t xml:space="preserve">10.1109/MIC.2025.3588546</w:t>
        </w:r>
      </w:hyperlink>
      <w:r>
        <w:t xml:space="preserve">.</w:t>
      </w:r>
    </w:p>
    <w:p>
      <w:pPr>
        <w:pStyle w:val="BodyText"/>
      </w:pPr>
      <w:r>
        <w:t xml:space="preserve">[14]</w:t>
      </w:r>
      <w:r>
        <w:t xml:space="preserve"> </w:t>
      </w:r>
      <w:r>
        <w:t xml:space="preserve">	</w:t>
      </w:r>
      <w:r>
        <w:t xml:space="preserve">C. Li and Y. Wang,</w:t>
      </w:r>
      <w:r>
        <w:t xml:space="preserve"> </w:t>
      </w:r>
      <w:r>
        <w:t xml:space="preserve">“Domain-contextualized concept graphs: A computable framework for knowledge representation,”</w:t>
      </w:r>
      <w:r>
        <w:t xml:space="preserve"> </w:t>
      </w:r>
      <w:r>
        <w:rPr>
          <w:i/>
          <w:iCs/>
        </w:rPr>
        <w:t xml:space="preserve">arXiv.org</w:t>
      </w:r>
      <w:r>
        <w:t xml:space="preserve">, Oct. 2025, doi:</w:t>
      </w:r>
      <w:r>
        <w:t xml:space="preserve"> </w:t>
      </w:r>
      <w:hyperlink r:id="rId22">
        <w:r>
          <w:rPr>
            <w:rStyle w:val="Hyperlink"/>
          </w:rPr>
          <w:t xml:space="preserve">10.48550/arXiv.2510.16802</w:t>
        </w:r>
      </w:hyperlink>
      <w:r>
        <w:t xml:space="preserve">.</w:t>
      </w:r>
    </w:p>
    <w:p>
      <w:pPr>
        <w:pStyle w:val="BodyText"/>
      </w:pPr>
      <w:r>
        <w:t xml:space="preserve">[15]</w:t>
      </w:r>
      <w:r>
        <w:t xml:space="preserve"> </w:t>
      </w:r>
      <w:r>
        <w:t xml:space="preserve">	</w:t>
      </w:r>
      <w:r>
        <w:t xml:space="preserve">S. Wang, H. Yang, and G. Bai,</w:t>
      </w:r>
      <w:r>
        <w:t xml:space="preserve"> </w:t>
      </w:r>
      <w:r>
        <w:t xml:space="preserve">“Construction of intelligent decision support systems through integration of retrieval-augmented generation and knowledge graphs,”</w:t>
      </w:r>
      <w:r>
        <w:t xml:space="preserve"> </w:t>
      </w:r>
      <w:r>
        <w:rPr>
          <w:i/>
          <w:iCs/>
        </w:rPr>
        <w:t xml:space="preserve">Scientific Reports</w:t>
      </w:r>
      <w:r>
        <w:t xml:space="preserve">, Oct. 2025, doi:</w:t>
      </w:r>
      <w:r>
        <w:t xml:space="preserve"> </w:t>
      </w:r>
      <w:hyperlink r:id="rId23">
        <w:r>
          <w:rPr>
            <w:rStyle w:val="Hyperlink"/>
          </w:rPr>
          <w:t xml:space="preserve">10.1038/s41598-025-19257-3</w:t>
        </w:r>
      </w:hyperlink>
      <w:r>
        <w:t xml:space="preserve">.</w:t>
      </w:r>
    </w:p>
    <w:p>
      <w:pPr>
        <w:pStyle w:val="BodyText"/>
      </w:pPr>
      <w:r>
        <w:t xml:space="preserve">[16]</w:t>
      </w:r>
      <w:r>
        <w:t xml:space="preserve"> </w:t>
      </w:r>
      <w:r>
        <w:t xml:space="preserve">	</w:t>
      </w:r>
      <w:r>
        <w:t xml:space="preserve">J. Sequeda, D. Allemang, and B. Jacob,</w:t>
      </w:r>
      <w:r>
        <w:t xml:space="preserve"> </w:t>
      </w:r>
      <w:r>
        <w:t xml:space="preserve">“A benchmark to understand the role of knowledge graphs on large language model”s accuracy for question answering on enterprise SQL databases,”</w:t>
      </w:r>
      <w:r>
        <w:t xml:space="preserve"> </w:t>
      </w:r>
      <w:r>
        <w:rPr>
          <w:i/>
          <w:iCs/>
        </w:rPr>
        <w:t xml:space="preserve">GRADES/NDA</w:t>
      </w:r>
      <w:r>
        <w:t xml:space="preserve">, Nov. 2023, doi:</w:t>
      </w:r>
      <w:r>
        <w:t xml:space="preserve"> </w:t>
      </w:r>
      <w:hyperlink r:id="rId24">
        <w:r>
          <w:rPr>
            <w:rStyle w:val="Hyperlink"/>
          </w:rPr>
          <w:t xml:space="preserve">10.1145/3661304.3661901</w:t>
        </w:r>
      </w:hyperlink>
      <w:r>
        <w:t xml:space="preserve">.</w:t>
      </w:r>
    </w:p>
    <w:p>
      <w:pPr>
        <w:pStyle w:val="BodyText"/>
      </w:pPr>
      <w:r>
        <w:t xml:space="preserve">[17]</w:t>
      </w:r>
      <w:r>
        <w:t xml:space="preserve"> </w:t>
      </w:r>
      <w:r>
        <w:t xml:space="preserve">	</w:t>
      </w:r>
      <w:r>
        <w:t xml:space="preserve">B. Li, K. Mellou, B.-W. Zhang, J. Pathuri, and I. Menache,</w:t>
      </w:r>
      <w:r>
        <w:t xml:space="preserve"> </w:t>
      </w:r>
      <w:r>
        <w:t xml:space="preserve">“Large language models for supply chain optimization,”</w:t>
      </w:r>
      <w:r>
        <w:t xml:space="preserve"> </w:t>
      </w:r>
      <w:r>
        <w:rPr>
          <w:i/>
          <w:iCs/>
        </w:rPr>
        <w:t xml:space="preserve">arXiv.org</w:t>
      </w:r>
      <w:r>
        <w:t xml:space="preserve">, July 2023, doi:</w:t>
      </w:r>
      <w:r>
        <w:t xml:space="preserve"> </w:t>
      </w:r>
      <w:hyperlink r:id="rId25">
        <w:r>
          <w:rPr>
            <w:rStyle w:val="Hyperlink"/>
          </w:rPr>
          <w:t xml:space="preserve">10.48550/arXiv.2307.03875</w:t>
        </w:r>
      </w:hyperlink>
      <w:r>
        <w:t xml:space="preserve">.</w:t>
      </w:r>
    </w:p>
    <w:p>
      <w:pPr>
        <w:pStyle w:val="BodyText"/>
      </w:pPr>
      <w:r>
        <w:t xml:space="preserve">[18]</w:t>
      </w:r>
      <w:r>
        <w:t xml:space="preserve"> </w:t>
      </w:r>
      <w:r>
        <w:t xml:space="preserve">	</w:t>
      </w:r>
      <w:r>
        <w:t xml:space="preserve">S. Wasserkrug</w:t>
      </w:r>
      <w:r>
        <w:t xml:space="preserve"> </w:t>
      </w:r>
      <w:r>
        <w:rPr>
          <w:i/>
          <w:iCs/>
        </w:rPr>
        <w:t xml:space="preserve">et al.</w:t>
      </w:r>
      <w:r>
        <w:t xml:space="preserve">,</w:t>
      </w:r>
      <w:r>
        <w:t xml:space="preserve"> </w:t>
      </w:r>
      <w:r>
        <w:t xml:space="preserve">“Enhancing decision making through the integration of large language models and operations research optimization,”</w:t>
      </w:r>
      <w:r>
        <w:t xml:space="preserve"> </w:t>
      </w:r>
      <w:r>
        <w:rPr>
          <w:i/>
          <w:iCs/>
        </w:rPr>
        <w:t xml:space="preserve">AAAI Conference on Artificial Intelligence</w:t>
      </w:r>
      <w:r>
        <w:t xml:space="preserve">, Apr. 2025, doi:</w:t>
      </w:r>
      <w:r>
        <w:t xml:space="preserve"> </w:t>
      </w:r>
      <w:hyperlink r:id="rId26">
        <w:r>
          <w:rPr>
            <w:rStyle w:val="Hyperlink"/>
          </w:rPr>
          <w:t xml:space="preserve">10.1609/aaai.v39i27.35090</w:t>
        </w:r>
      </w:hyperlink>
      <w:r>
        <w:t xml:space="preserve">.</w:t>
      </w:r>
    </w:p>
    <w:p>
      <w:pPr>
        <w:pStyle w:val="BodyText"/>
      </w:pPr>
      <w:r>
        <w:t xml:space="preserve">[19]</w:t>
      </w:r>
      <w:r>
        <w:t xml:space="preserve"> </w:t>
      </w:r>
      <w:r>
        <w:t xml:space="preserve">	</w:t>
      </w:r>
      <w:r>
        <w:t xml:space="preserve">J. Zhang</w:t>
      </w:r>
      <w:r>
        <w:t xml:space="preserve"> </w:t>
      </w:r>
      <w:r>
        <w:rPr>
          <w:i/>
          <w:iCs/>
        </w:rPr>
        <w:t xml:space="preserve">et al.</w:t>
      </w:r>
      <w:r>
        <w:t xml:space="preserve">,</w:t>
      </w:r>
      <w:r>
        <w:t xml:space="preserve"> </w:t>
      </w:r>
      <w:r>
        <w:t xml:space="preserve">“Solving general natural-language-description optimization problems with large language models,”</w:t>
      </w:r>
      <w:r>
        <w:t xml:space="preserve"> </w:t>
      </w:r>
      <w:r>
        <w:rPr>
          <w:i/>
          <w:iCs/>
        </w:rPr>
        <w:t xml:space="preserve">North American Chapter of the Association for Computational Linguistics</w:t>
      </w:r>
      <w:r>
        <w:t xml:space="preserve">, July 2024, doi:</w:t>
      </w:r>
      <w:r>
        <w:t xml:space="preserve"> </w:t>
      </w:r>
      <w:hyperlink r:id="rId27">
        <w:r>
          <w:rPr>
            <w:rStyle w:val="Hyperlink"/>
          </w:rPr>
          <w:t xml:space="preserve">10.18653/v1/2024.naacl-industry.42</w:t>
        </w:r>
      </w:hyperlink>
      <w:r>
        <w:t xml:space="preserve">.</w:t>
      </w:r>
    </w:p>
    <w:p>
      <w:pPr>
        <w:pStyle w:val="BodyText"/>
      </w:pPr>
      <w:r>
        <w:t xml:space="preserve">[20]</w:t>
      </w:r>
      <w:r>
        <w:t xml:space="preserve"> </w:t>
      </w:r>
      <w:r>
        <w:t xml:space="preserve">	</w:t>
      </w:r>
      <w:r>
        <w:t xml:space="preserve">Y. Chen, J. Xia, S. Shao, D. Ge, and Y. Ye,</w:t>
      </w:r>
      <w:r>
        <w:t xml:space="preserve"> </w:t>
      </w:r>
      <w:r>
        <w:t xml:space="preserve">“Solver-informed RL: Grounding large language models for authentic optimization modeling,”</w:t>
      </w:r>
      <w:r>
        <w:t xml:space="preserve"> </w:t>
      </w:r>
      <w:r>
        <w:rPr>
          <w:i/>
          <w:iCs/>
        </w:rPr>
        <w:t xml:space="preserve">arXiv.org</w:t>
      </w:r>
      <w:r>
        <w:t xml:space="preserve">, May 2025, doi:</w:t>
      </w:r>
      <w:r>
        <w:t xml:space="preserve"> </w:t>
      </w:r>
      <w:hyperlink r:id="rId28">
        <w:r>
          <w:rPr>
            <w:rStyle w:val="Hyperlink"/>
          </w:rPr>
          <w:t xml:space="preserve">10.48550/arXiv.2505.11792</w:t>
        </w:r>
      </w:hyperlink>
      <w:r>
        <w:t xml:space="preserve">.</w:t>
      </w:r>
    </w:p>
    <w:p>
      <w:pPr>
        <w:pStyle w:val="BodyText"/>
      </w:pPr>
      <w:r>
        <w:t xml:space="preserve">[21]</w:t>
      </w:r>
      <w:r>
        <w:t xml:space="preserve"> </w:t>
      </w:r>
      <w:r>
        <w:t xml:space="preserve">	</w:t>
      </w:r>
      <w:r>
        <w:t xml:space="preserve">F. Zhang and B. Wu,</w:t>
      </w:r>
      <w:r>
        <w:t xml:space="preserve"> </w:t>
      </w:r>
      <w:r>
        <w:t xml:space="preserve">“Large language models as general purpose intelligence systems for reasoning, planning and decision making,”</w:t>
      </w:r>
      <w:r>
        <w:t xml:space="preserve"> </w:t>
      </w:r>
      <w:r>
        <w:rPr>
          <w:i/>
          <w:iCs/>
        </w:rPr>
        <w:t xml:space="preserve">American journal of artificial intelligence and neural networks</w:t>
      </w:r>
      <w:r>
        <w:t xml:space="preserve">, Dec. 2025, doi:</w:t>
      </w:r>
      <w:r>
        <w:t xml:space="preserve"> </w:t>
      </w:r>
      <w:hyperlink r:id="rId29">
        <w:r>
          <w:rPr>
            <w:rStyle w:val="Hyperlink"/>
          </w:rPr>
          <w:t xml:space="preserve">10.71465/ajainn473</w:t>
        </w:r>
      </w:hyperlink>
      <w:r>
        <w:t xml:space="preserve">.</w:t>
      </w:r>
    </w:p>
    <w:p>
      <w:pPr>
        <w:pStyle w:val="BodyText"/>
      </w:pPr>
      <w:r>
        <w:t xml:space="preserve">[22]</w:t>
      </w:r>
      <w:r>
        <w:t xml:space="preserve"> </w:t>
      </w:r>
      <w:r>
        <w:t xml:space="preserve">	</w:t>
      </w:r>
      <w:r>
        <w:t xml:space="preserve">J. Oyekan, C. Turner, M. Bax, and E. W. Graf,</w:t>
      </w:r>
      <w:r>
        <w:t xml:space="preserve"> </w:t>
      </w:r>
      <w:r>
        <w:t xml:space="preserve">“Applying ontologies and knowledge augmented large language models to industrial automation: A decision-making guidance for achieving human-robot collaboration in industry 5.0,”</w:t>
      </w:r>
      <w:r>
        <w:t xml:space="preserve"> </w:t>
      </w:r>
      <w:r>
        <w:rPr>
          <w:i/>
          <w:iCs/>
        </w:rPr>
        <w:t xml:space="preserve">arXiv.org</w:t>
      </w:r>
      <w:r>
        <w:t xml:space="preserve">, May 2025, doi:</w:t>
      </w:r>
      <w:r>
        <w:t xml:space="preserve"> </w:t>
      </w:r>
      <w:hyperlink r:id="rId30">
        <w:r>
          <w:rPr>
            <w:rStyle w:val="Hyperlink"/>
          </w:rPr>
          <w:t xml:space="preserve">10.48550/arXiv.2505.18553</w:t>
        </w:r>
      </w:hyperlink>
      <w:r>
        <w:t xml:space="preserve">.</w:t>
      </w:r>
    </w:p>
    <w:p>
      <w:pPr>
        <w:pStyle w:val="BodyText"/>
      </w:pPr>
      <w:r>
        <w:t xml:space="preserve">[23]</w:t>
      </w:r>
      <w:r>
        <w:t xml:space="preserve"> </w:t>
      </w:r>
      <w:r>
        <w:t xml:space="preserve">	</w:t>
      </w:r>
      <w:r>
        <w:t xml:space="preserve">S. Ma and J. Qian,</w:t>
      </w:r>
      <w:r>
        <w:t xml:space="preserve"> </w:t>
      </w:r>
      <w:r>
        <w:t xml:space="preserve">“Intelligent optimization of manufacturing supply chains via digital twins and deep learning,”</w:t>
      </w:r>
      <w:r>
        <w:t xml:space="preserve"> </w:t>
      </w:r>
      <w:r>
        <w:rPr>
          <w:i/>
          <w:iCs/>
        </w:rPr>
        <w:t xml:space="preserve">2025 IEEE 3rd International Conference on Electrical, Automation and Computer Engineering (ICEACE)</w:t>
      </w:r>
      <w:r>
        <w:t xml:space="preserve">, Dec. 2025, doi:</w:t>
      </w:r>
      <w:r>
        <w:t xml:space="preserve"> </w:t>
      </w:r>
      <w:hyperlink r:id="rId31">
        <w:r>
          <w:rPr>
            <w:rStyle w:val="Hyperlink"/>
          </w:rPr>
          <w:t xml:space="preserve">10.1109/ICEACE67491.2025.11439432</w:t>
        </w:r>
      </w:hyperlink>
      <w:r>
        <w:t xml:space="preserve">.</w:t>
      </w:r>
    </w:p>
    <w:p>
      <w:pPr>
        <w:pStyle w:val="BodyText"/>
      </w:pPr>
      <w:r>
        <w:t xml:space="preserve">[24]</w:t>
      </w:r>
      <w:r>
        <w:t xml:space="preserve"> </w:t>
      </w:r>
      <w:r>
        <w:t xml:space="preserve">	</w:t>
      </w:r>
      <w:r>
        <w:t xml:space="preserve">P. Nguyen, M. Kim, E. Nichols, and H.-S. Yoon,</w:t>
      </w:r>
      <w:r>
        <w:t xml:space="preserve"> </w:t>
      </w:r>
      <w:r>
        <w:t xml:space="preserve">“AI-driven digital twins for manufacturing: A review across hierarchical manufacturing system levels,”</w:t>
      </w:r>
      <w:r>
        <w:t xml:space="preserve"> </w:t>
      </w:r>
      <w:r>
        <w:rPr>
          <w:i/>
          <w:iCs/>
        </w:rPr>
        <w:t xml:space="preserve">Italian National Conference on Sensors</w:t>
      </w:r>
      <w:r>
        <w:t xml:space="preserve">, Dec. 2025, doi:</w:t>
      </w:r>
      <w:r>
        <w:t xml:space="preserve"> </w:t>
      </w:r>
      <w:hyperlink r:id="rId32">
        <w:r>
          <w:rPr>
            <w:rStyle w:val="Hyperlink"/>
          </w:rPr>
          <w:t xml:space="preserve">10.3390/s26010124</w:t>
        </w:r>
      </w:hyperlink>
      <w:r>
        <w:t xml:space="preserve">.</w:t>
      </w:r>
    </w:p>
    <w:p>
      <w:pPr>
        <w:pStyle w:val="BodyText"/>
      </w:pPr>
      <w:r>
        <w:t xml:space="preserve">[25]</w:t>
      </w:r>
      <w:r>
        <w:t xml:space="preserve"> </w:t>
      </w:r>
      <w:r>
        <w:t xml:space="preserve">	</w:t>
      </w:r>
      <w:r>
        <w:t xml:space="preserve">K. A. Loganathan and A. Chinnaraju,</w:t>
      </w:r>
      <w:r>
        <w:t xml:space="preserve"> </w:t>
      </w:r>
      <w:r>
        <w:t xml:space="preserve">“AI-native supply chain resilience: A multimodal architecture for predictive intelligence, optimization, and real-time decision-making,”</w:t>
      </w:r>
      <w:r>
        <w:t xml:space="preserve"> </w:t>
      </w:r>
      <w:r>
        <w:rPr>
          <w:i/>
          <w:iCs/>
        </w:rPr>
        <w:t xml:space="preserve">GSC Advanced Research and Reviews</w:t>
      </w:r>
      <w:r>
        <w:t xml:space="preserve">, Dec. 2025, doi:</w:t>
      </w:r>
      <w:r>
        <w:t xml:space="preserve"> </w:t>
      </w:r>
      <w:hyperlink r:id="rId33">
        <w:r>
          <w:rPr>
            <w:rStyle w:val="Hyperlink"/>
          </w:rPr>
          <w:t xml:space="preserve">10.30574/gscarr.2025.25.3.0372</w:t>
        </w:r>
      </w:hyperlink>
      <w:r>
        <w:t xml:space="preserve">.</w:t>
      </w:r>
    </w:p>
    <w:p>
      <w:pPr>
        <w:pStyle w:val="BodyText"/>
      </w:pPr>
      <w:r>
        <w:t xml:space="preserve">[26]</w:t>
      </w:r>
      <w:r>
        <w:t xml:space="preserve"> </w:t>
      </w:r>
      <w:r>
        <w:t xml:space="preserve">	</w:t>
      </w:r>
      <w:r>
        <w:t xml:space="preserve">T. Swetha and.Bruhaspathi¹ G,</w:t>
      </w:r>
      <w:r>
        <w:t xml:space="preserve"> </w:t>
      </w:r>
      <w:r>
        <w:t xml:space="preserve">“Reinforcement learning applications in autonomous decision making systems,”</w:t>
      </w:r>
      <w:r>
        <w:t xml:space="preserve"> </w:t>
      </w:r>
      <w:r>
        <w:rPr>
          <w:i/>
          <w:iCs/>
        </w:rPr>
        <w:t xml:space="preserve">International Scientific Journal of Engineering and Management</w:t>
      </w:r>
      <w:r>
        <w:t xml:space="preserve">, Apr. 2026, doi:</w:t>
      </w:r>
      <w:r>
        <w:t xml:space="preserve"> </w:t>
      </w:r>
      <w:hyperlink r:id="rId34">
        <w:r>
          <w:rPr>
            <w:rStyle w:val="Hyperlink"/>
          </w:rPr>
          <w:t xml:space="preserve">10.55041/isjem06236</w:t>
        </w:r>
      </w:hyperlink>
      <w:r>
        <w:t xml:space="preserve">.</w:t>
      </w:r>
    </w:p>
    <w:p>
      <w:pPr>
        <w:pStyle w:val="BodyText"/>
      </w:pPr>
      <w:r>
        <w:t xml:space="preserve">[27]</w:t>
      </w:r>
      <w:r>
        <w:t xml:space="preserve"> </w:t>
      </w:r>
      <w:r>
        <w:t xml:space="preserve">	</w:t>
      </w:r>
      <w:r>
        <w:t xml:space="preserve">D. M. Krishna, S. Sajida, M. Suneetha, S. A. Khan, G. Sajiv, and I. Raj,</w:t>
      </w:r>
      <w:r>
        <w:t xml:space="preserve"> </w:t>
      </w:r>
      <w:r>
        <w:t xml:space="preserve">“Intelligent autonomous decision-making system using hybrid AI techniques for real-time data processing and optimization,”</w:t>
      </w:r>
      <w:r>
        <w:t xml:space="preserve"> </w:t>
      </w:r>
      <w:r>
        <w:rPr>
          <w:i/>
          <w:iCs/>
        </w:rPr>
        <w:t xml:space="preserve">International Conference on Nascent Technologies in Engineering</w:t>
      </w:r>
      <w:r>
        <w:t xml:space="preserve">, Jan. 2026, doi:</w:t>
      </w:r>
      <w:r>
        <w:t xml:space="preserve"> </w:t>
      </w:r>
      <w:hyperlink r:id="rId35">
        <w:r>
          <w:rPr>
            <w:rStyle w:val="Hyperlink"/>
          </w:rPr>
          <w:t xml:space="preserve">10.1109/ICNTE66387.2026.11437514</w:t>
        </w:r>
      </w:hyperlink>
      <w:r>
        <w:t xml:space="preserve">.</w:t>
      </w:r>
    </w:p>
    <w:p>
      <w:pPr>
        <w:pStyle w:val="BodyText"/>
      </w:pPr>
      <w:r>
        <w:t xml:space="preserve">[28]</w:t>
      </w:r>
      <w:r>
        <w:t xml:space="preserve"> </w:t>
      </w:r>
      <w:r>
        <w:t xml:space="preserve">	</w:t>
      </w:r>
      <w:r>
        <w:t xml:space="preserve">P. K. Natta,</w:t>
      </w:r>
      <w:r>
        <w:t xml:space="preserve"> </w:t>
      </w:r>
      <w:r>
        <w:t xml:space="preserve">“Autonomous cloud optimization leveraging AI-augmented decision frameworks,”</w:t>
      </w:r>
      <w:r>
        <w:t xml:space="preserve"> </w:t>
      </w:r>
      <w:r>
        <w:rPr>
          <w:i/>
          <w:iCs/>
        </w:rPr>
        <w:t xml:space="preserve">International Journal of Engineering &amp;amp; Extended Technologies Research</w:t>
      </w:r>
      <w:r>
        <w:t xml:space="preserve">, Apr. 2024, doi:</w:t>
      </w:r>
      <w:r>
        <w:t xml:space="preserve"> </w:t>
      </w:r>
      <w:hyperlink r:id="rId36">
        <w:r>
          <w:rPr>
            <w:rStyle w:val="Hyperlink"/>
          </w:rPr>
          <w:t xml:space="preserve">10.15662/ijeetr.2024.0602005</w:t>
        </w:r>
      </w:hyperlink>
      <w:r>
        <w:t xml:space="preserve">.</w:t>
      </w:r>
    </w:p>
    <w:p>
      <w:pPr>
        <w:pStyle w:val="BodyText"/>
      </w:pPr>
      <w:r>
        <w:t xml:space="preserve">[29]</w:t>
      </w:r>
      <w:r>
        <w:t xml:space="preserve"> </w:t>
      </w:r>
      <w:r>
        <w:t xml:space="preserve">	</w:t>
      </w:r>
      <w:r>
        <w:t xml:space="preserve">K. Kong, Z. Liu, Z. Gao, H.-F. Dong, and H. F. Isleem,</w:t>
      </w:r>
      <w:r>
        <w:t xml:space="preserve"> </w:t>
      </w:r>
      <w:r>
        <w:t xml:space="preserve">“Hierarchical deep reinforcement learning for real-time tactical decision-making in team sports,”</w:t>
      </w:r>
      <w:r>
        <w:t xml:space="preserve"> </w:t>
      </w:r>
      <w:r>
        <w:rPr>
          <w:i/>
          <w:iCs/>
        </w:rPr>
        <w:t xml:space="preserve">Data Technologies and Applications</w:t>
      </w:r>
      <w:r>
        <w:t xml:space="preserve">, Jan. 2026, doi:</w:t>
      </w:r>
      <w:r>
        <w:t xml:space="preserve"> </w:t>
      </w:r>
      <w:hyperlink r:id="rId37">
        <w:r>
          <w:rPr>
            <w:rStyle w:val="Hyperlink"/>
          </w:rPr>
          <w:t xml:space="preserve">10.1108/dta-06-2025-0512</w:t>
        </w:r>
      </w:hyperlink>
      <w:r>
        <w:t xml:space="preserve">.</w:t>
      </w:r>
    </w:p>
    <w:p>
      <w:pPr>
        <w:pStyle w:val="BodyText"/>
      </w:pPr>
      <w:r>
        <w:t xml:space="preserve">[30]</w:t>
      </w:r>
      <w:r>
        <w:t xml:space="preserve"> </w:t>
      </w:r>
      <w:r>
        <w:t xml:space="preserve">	</w:t>
      </w:r>
      <w:r>
        <w:t xml:space="preserve">P. K. Natta,</w:t>
      </w:r>
      <w:r>
        <w:t xml:space="preserve"> </w:t>
      </w:r>
      <w:r>
        <w:t xml:space="preserve">“Closed-loop AI frameworks for real-time decision intelligence in enterprise environments,”</w:t>
      </w:r>
      <w:r>
        <w:t xml:space="preserve"> </w:t>
      </w:r>
      <w:r>
        <w:rPr>
          <w:i/>
          <w:iCs/>
        </w:rPr>
        <w:t xml:space="preserve">International journal of humanities and information technology</w:t>
      </w:r>
      <w:r>
        <w:t xml:space="preserve">, Aug. 2024, doi:</w:t>
      </w:r>
      <w:r>
        <w:t xml:space="preserve"> </w:t>
      </w:r>
      <w:hyperlink r:id="rId38">
        <w:r>
          <w:rPr>
            <w:rStyle w:val="Hyperlink"/>
          </w:rPr>
          <w:t xml:space="preserve">10.21590/ijhit.06.03.05</w:t>
        </w:r>
      </w:hyperlink>
      <w:r>
        <w:t xml:space="preserve">.</w:t>
      </w:r>
    </w:p>
    <w:p>
      <w:pPr>
        <w:pStyle w:val="BodyText"/>
      </w:pPr>
      <w:r>
        <w:t xml:space="preserve">[31]</w:t>
      </w:r>
      <w:r>
        <w:t xml:space="preserve"> </w:t>
      </w:r>
      <w:r>
        <w:t xml:space="preserve">	</w:t>
      </w:r>
      <w:r>
        <w:t xml:space="preserve">H. Xu, Y. Sun, J. Tupayachi, O. Omitaomu, S. Zlatanov, and X. Li,</w:t>
      </w:r>
      <w:r>
        <w:t xml:space="preserve"> </w:t>
      </w:r>
      <w:r>
        <w:t xml:space="preserve">“Towards the autonomous optimization of urban logistics: Training generative AI with scientific tools via agentic digital twins and model context protocol,”</w:t>
      </w:r>
      <w:r>
        <w:t xml:space="preserve"> </w:t>
      </w:r>
      <w:r>
        <w:rPr>
          <w:i/>
          <w:iCs/>
        </w:rPr>
        <w:t xml:space="preserve">arXiv.org</w:t>
      </w:r>
      <w:r>
        <w:t xml:space="preserve">, June 2025, doi:</w:t>
      </w:r>
      <w:r>
        <w:t xml:space="preserve"> </w:t>
      </w:r>
      <w:hyperlink r:id="rId39">
        <w:r>
          <w:rPr>
            <w:rStyle w:val="Hyperlink"/>
          </w:rPr>
          <w:t xml:space="preserve">10.48550/arXiv.2506.13068</w:t>
        </w:r>
      </w:hyperlink>
      <w:r>
        <w:t xml:space="preserve">.</w:t>
      </w:r>
    </w:p>
    <w:p>
      <w:pPr>
        <w:pStyle w:val="BodyText"/>
      </w:pPr>
      <w:r>
        <w:t xml:space="preserve">[32]</w:t>
      </w:r>
      <w:r>
        <w:t xml:space="preserve"> </w:t>
      </w:r>
      <w:r>
        <w:t xml:space="preserve">	</w:t>
      </w:r>
      <w:r>
        <w:t xml:space="preserve">R. K. Matla,</w:t>
      </w:r>
      <w:r>
        <w:t xml:space="preserve"> </w:t>
      </w:r>
      <w:r>
        <w:t xml:space="preserve">“AI agent–enabled predictive analytics and intelligent dashboard automation for real-time decision intelligence in large enterprises,”</w:t>
      </w:r>
      <w:r>
        <w:t xml:space="preserve"> </w:t>
      </w:r>
      <w:r>
        <w:rPr>
          <w:i/>
          <w:iCs/>
        </w:rPr>
        <w:t xml:space="preserve">2026 5th International Conference on Sentiment Analysis and Deep Learning (ICSADL)</w:t>
      </w:r>
      <w:r>
        <w:t xml:space="preserve">, Feb. 2026, doi:</w:t>
      </w:r>
      <w:r>
        <w:t xml:space="preserve"> </w:t>
      </w:r>
      <w:hyperlink r:id="rId40">
        <w:r>
          <w:rPr>
            <w:rStyle w:val="Hyperlink"/>
          </w:rPr>
          <w:t xml:space="preserve">10.1109/ICSADL67539.2026.11452115</w:t>
        </w:r>
      </w:hyperlink>
      <w:r>
        <w:t xml:space="preserve">.</w:t>
      </w:r>
    </w:p>
    <w:p>
      <w:pPr>
        <w:pStyle w:val="BodyText"/>
      </w:pPr>
      <w:r>
        <w:t xml:space="preserve">[33]</w:t>
      </w:r>
      <w:r>
        <w:t xml:space="preserve"> </w:t>
      </w:r>
      <w:r>
        <w:t xml:space="preserve">	</w:t>
      </w:r>
      <w:r>
        <w:t xml:space="preserve">E. Zhou,</w:t>
      </w:r>
      <w:r>
        <w:t xml:space="preserve"> </w:t>
      </w:r>
      <w:r>
        <w:t xml:space="preserve">“Data-driven simulation optimization in the age of digital twins: Challenges and developments,”</w:t>
      </w:r>
      <w:r>
        <w:t xml:space="preserve"> </w:t>
      </w:r>
      <w:r>
        <w:rPr>
          <w:i/>
          <w:iCs/>
        </w:rPr>
        <w:t xml:space="preserve">Online World Conference on Soft Computing in Industrial Applications</w:t>
      </w:r>
      <w:r>
        <w:t xml:space="preserve">, June 2024, doi:</w:t>
      </w:r>
      <w:r>
        <w:t xml:space="preserve"> </w:t>
      </w:r>
      <w:hyperlink r:id="rId41">
        <w:r>
          <w:rPr>
            <w:rStyle w:val="Hyperlink"/>
          </w:rPr>
          <w:t xml:space="preserve">10.1109/WSC63780.2024.10838871</w:t>
        </w:r>
      </w:hyperlink>
      <w:r>
        <w:t xml:space="preserve">.</w:t>
      </w:r>
    </w:p>
    <w:p>
      <w:pPr>
        <w:pStyle w:val="BodyText"/>
      </w:pPr>
      <w:r>
        <w:t xml:space="preserve">[34]</w:t>
      </w:r>
      <w:r>
        <w:t xml:space="preserve"> </w:t>
      </w:r>
      <w:r>
        <w:t xml:space="preserve">	</w:t>
      </w:r>
      <w:r>
        <w:t xml:space="preserve">M. S. Kumar,</w:t>
      </w:r>
      <w:r>
        <w:t xml:space="preserve"> </w:t>
      </w:r>
      <w:r>
        <w:t xml:space="preserve">“An AI-driven architecture for cross-domain data management in enterprise systems,”</w:t>
      </w:r>
      <w:r>
        <w:t xml:space="preserve"> </w:t>
      </w:r>
      <w:r>
        <w:rPr>
          <w:i/>
          <w:iCs/>
        </w:rPr>
        <w:t xml:space="preserve">International Journal of Emerging Research in Engineering and Technology</w:t>
      </w:r>
      <w:r>
        <w:t xml:space="preserve">, 2024, doi:</w:t>
      </w:r>
      <w:r>
        <w:t xml:space="preserve"> </w:t>
      </w:r>
      <w:hyperlink r:id="rId42">
        <w:r>
          <w:rPr>
            <w:rStyle w:val="Hyperlink"/>
          </w:rPr>
          <w:t xml:space="preserve">10.63282/3050-922x.ijeret-v5i2p118</w:t>
        </w:r>
      </w:hyperlink>
      <w:r>
        <w:t xml:space="preserve">.</w:t>
      </w:r>
    </w:p>
    <w:p>
      <w:pPr>
        <w:pStyle w:val="BodyText"/>
      </w:pPr>
      <w:r>
        <w:t xml:space="preserve">[35]</w:t>
      </w:r>
      <w:r>
        <w:t xml:space="preserve"> </w:t>
      </w:r>
      <w:r>
        <w:t xml:space="preserve">	</w:t>
      </w:r>
      <w:r>
        <w:t xml:space="preserve">O. Duranteau and B. Popoff,</w:t>
      </w:r>
      <w:r>
        <w:t xml:space="preserve"> </w:t>
      </w:r>
      <w:r>
        <w:t xml:space="preserve">“Data integration and systems interoperability: The prerequisite for artificial intelligence in anesthesiology.”</w:t>
      </w:r>
      <w:r>
        <w:t xml:space="preserve"> </w:t>
      </w:r>
      <w:r>
        <w:rPr>
          <w:i/>
          <w:iCs/>
        </w:rPr>
        <w:t xml:space="preserve">Current Opinion in Anaesthesiology</w:t>
      </w:r>
      <w:r>
        <w:t xml:space="preserve">, Feb. 2026, doi:</w:t>
      </w:r>
      <w:r>
        <w:t xml:space="preserve"> </w:t>
      </w:r>
      <w:hyperlink r:id="rId43">
        <w:r>
          <w:rPr>
            <w:rStyle w:val="Hyperlink"/>
          </w:rPr>
          <w:t xml:space="preserve">10.1097/ACO.0000000000001625</w:t>
        </w:r>
      </w:hyperlink>
      <w:r>
        <w:t xml:space="preserve">.</w:t>
      </w:r>
    </w:p>
    <w:p>
      <w:pPr>
        <w:pStyle w:val="BodyText"/>
      </w:pPr>
      <w:r>
        <w:t xml:space="preserve">[36]</w:t>
      </w:r>
      <w:r>
        <w:t xml:space="preserve"> </w:t>
      </w:r>
      <w:r>
        <w:t xml:space="preserve">	</w:t>
      </w:r>
      <w:r>
        <w:t xml:space="preserve">A. Gyrard</w:t>
      </w:r>
      <w:r>
        <w:t xml:space="preserve"> </w:t>
      </w:r>
      <w:r>
        <w:rPr>
          <w:i/>
          <w:iCs/>
        </w:rPr>
        <w:t xml:space="preserve">et al.</w:t>
      </w:r>
      <w:r>
        <w:t xml:space="preserve">,</w:t>
      </w:r>
      <w:r>
        <w:t xml:space="preserve"> </w:t>
      </w:r>
      <w:r>
        <w:t xml:space="preserve">“Lessons learned from european health data projects with cancer use cases: Implementation of health standards and internet of things semantic interoperability,”</w:t>
      </w:r>
      <w:r>
        <w:t xml:space="preserve"> </w:t>
      </w:r>
      <w:r>
        <w:rPr>
          <w:i/>
          <w:iCs/>
        </w:rPr>
        <w:t xml:space="preserve">Journal of Medical Internet Research</w:t>
      </w:r>
      <w:r>
        <w:t xml:space="preserve">, Mar. 2025, doi:</w:t>
      </w:r>
      <w:r>
        <w:t xml:space="preserve"> </w:t>
      </w:r>
      <w:hyperlink r:id="rId44">
        <w:r>
          <w:rPr>
            <w:rStyle w:val="Hyperlink"/>
          </w:rPr>
          <w:t xml:space="preserve">10.2196/66273</w:t>
        </w:r>
      </w:hyperlink>
      <w:r>
        <w:t xml:space="preserve">.</w:t>
      </w:r>
    </w:p>
    <w:p>
      <w:pPr>
        <w:pStyle w:val="BodyText"/>
      </w:pPr>
      <w:r>
        <w:t xml:space="preserve">[37]</w:t>
      </w:r>
      <w:r>
        <w:t xml:space="preserve"> </w:t>
      </w:r>
      <w:r>
        <w:t xml:space="preserve">	</w:t>
      </w:r>
      <w:r>
        <w:t xml:space="preserve">B. Banitalebi and S. V. A. Dwivedula,</w:t>
      </w:r>
      <w:r>
        <w:t xml:space="preserve"> </w:t>
      </w:r>
      <w:r>
        <w:t xml:space="preserve">“Establishing trust in AI-driven data observability and quality control: A framework for reliable and scalable standards,”</w:t>
      </w:r>
      <w:r>
        <w:t xml:space="preserve"> </w:t>
      </w:r>
      <w:r>
        <w:rPr>
          <w:i/>
          <w:iCs/>
        </w:rPr>
        <w:t xml:space="preserve">Conference on Algebraic Informatics</w:t>
      </w:r>
      <w:r>
        <w:t xml:space="preserve">, May 2025, doi:</w:t>
      </w:r>
      <w:r>
        <w:t xml:space="preserve"> </w:t>
      </w:r>
      <w:hyperlink r:id="rId45">
        <w:r>
          <w:rPr>
            <w:rStyle w:val="Hyperlink"/>
          </w:rPr>
          <w:t xml:space="preserve">10.1109/CAI64502.2025.00264</w:t>
        </w:r>
      </w:hyperlink>
      <w:r>
        <w:t xml:space="preserve">.</w:t>
      </w:r>
    </w:p>
    <w:p>
      <w:pPr>
        <w:pStyle w:val="BodyText"/>
      </w:pPr>
      <w:r>
        <w:t xml:space="preserve">[38]</w:t>
      </w:r>
      <w:r>
        <w:t xml:space="preserve"> </w:t>
      </w:r>
      <w:r>
        <w:t xml:space="preserve">	</w:t>
      </w:r>
      <w:r>
        <w:t xml:space="preserve">B. Jørgensen and Z. Ma,</w:t>
      </w:r>
      <w:r>
        <w:t xml:space="preserve"> </w:t>
      </w:r>
      <w:r>
        <w:t xml:space="preserve">“Impact of EU laws and regulations on the adoption of artificial intelligence in cyber–physical systems: A review of regulatory barriers, technological challenges, and cross-sector implications,”</w:t>
      </w:r>
      <w:r>
        <w:t xml:space="preserve"> </w:t>
      </w:r>
      <w:r>
        <w:rPr>
          <w:i/>
          <w:iCs/>
        </w:rPr>
        <w:t xml:space="preserve">Electronics</w:t>
      </w:r>
      <w:r>
        <w:t xml:space="preserve">, May 2026, doi:</w:t>
      </w:r>
      <w:r>
        <w:t xml:space="preserve"> </w:t>
      </w:r>
      <w:hyperlink r:id="rId46">
        <w:r>
          <w:rPr>
            <w:rStyle w:val="Hyperlink"/>
          </w:rPr>
          <w:t xml:space="preserve">10.3390/electronics15102184</w:t>
        </w:r>
      </w:hyperlink>
      <w:r>
        <w:t xml:space="preserve">.</w:t>
      </w:r>
    </w:p>
    <w:p>
      <w:pPr>
        <w:pStyle w:val="BodyText"/>
      </w:pPr>
      <w:r>
        <w:t xml:space="preserve">[39]</w:t>
      </w:r>
      <w:r>
        <w:t xml:space="preserve"> </w:t>
      </w:r>
      <w:r>
        <w:t xml:space="preserve">	</w:t>
      </w:r>
      <w:r>
        <w:t xml:space="preserve">A. Warrier,</w:t>
      </w:r>
      <w:r>
        <w:t xml:space="preserve"> </w:t>
      </w:r>
      <w:r>
        <w:t xml:space="preserve">“API-first interoperability framework for enterprise electronic health record systems,”</w:t>
      </w:r>
      <w:r>
        <w:t xml:space="preserve"> </w:t>
      </w:r>
      <w:r>
        <w:rPr>
          <w:i/>
          <w:iCs/>
        </w:rPr>
        <w:t xml:space="preserve">International Journal For Multidisciplinary Research</w:t>
      </w:r>
      <w:r>
        <w:t xml:space="preserve">, Aug. 2025, doi:</w:t>
      </w:r>
      <w:r>
        <w:t xml:space="preserve"> </w:t>
      </w:r>
      <w:hyperlink r:id="rId47">
        <w:r>
          <w:rPr>
            <w:rStyle w:val="Hyperlink"/>
          </w:rPr>
          <w:t xml:space="preserve">10.36948/ijfmr.2025.v07i04.54383</w:t>
        </w:r>
      </w:hyperlink>
      <w:r>
        <w:t xml:space="preserve">.</w:t>
      </w:r>
    </w:p>
    <w:p>
      <w:pPr>
        <w:pStyle w:val="BodyText"/>
      </w:pPr>
      <w:r>
        <w:t xml:space="preserve">[40]</w:t>
      </w:r>
      <w:r>
        <w:t xml:space="preserve"> </w:t>
      </w:r>
      <w:r>
        <w:t xml:space="preserve">	</w:t>
      </w:r>
      <w:r>
        <w:t xml:space="preserve">Y. Zhang</w:t>
      </w:r>
      <w:r>
        <w:t xml:space="preserve"> </w:t>
      </w:r>
      <w:r>
        <w:rPr>
          <w:i/>
          <w:iCs/>
        </w:rPr>
        <w:t xml:space="preserve">et al.</w:t>
      </w:r>
      <w:r>
        <w:t xml:space="preserve">,</w:t>
      </w:r>
      <w:r>
        <w:t xml:space="preserve"> </w:t>
      </w:r>
      <w:r>
        <w:t xml:space="preserve">“Decision information meets large language models: The future of explainable operations research,”</w:t>
      </w:r>
      <w:r>
        <w:t xml:space="preserve"> </w:t>
      </w:r>
      <w:r>
        <w:rPr>
          <w:i/>
          <w:iCs/>
        </w:rPr>
        <w:t xml:space="preserve">International Conference on Learning Representations</w:t>
      </w:r>
      <w:r>
        <w:t xml:space="preserve">, Feb. 2025, doi:</w:t>
      </w:r>
      <w:r>
        <w:t xml:space="preserve"> </w:t>
      </w:r>
      <w:hyperlink r:id="rId48">
        <w:r>
          <w:rPr>
            <w:rStyle w:val="Hyperlink"/>
          </w:rPr>
          <w:t xml:space="preserve">10.48550/arXiv.2502.09994</w:t>
        </w:r>
      </w:hyperlink>
      <w:r>
        <w:t xml:space="preserve">.</w:t>
      </w:r>
    </w:p>
    <w:p>
      <w:pPr>
        <w:pStyle w:val="BodyText"/>
      </w:pPr>
      <w:r>
        <w:t xml:space="preserve">[41]</w:t>
      </w:r>
      <w:r>
        <w:t xml:space="preserve"> </w:t>
      </w:r>
      <w:r>
        <w:t xml:space="preserve">	</w:t>
      </w:r>
      <w:r>
        <w:t xml:space="preserve">J. An, D. Huang, C. Lin, and M. Tai,</w:t>
      </w:r>
      <w:r>
        <w:t xml:space="preserve"> </w:t>
      </w:r>
      <w:r>
        <w:t xml:space="preserve">“Measuring gender and racial biases in large language models: Intersectional evidence from automated resume evaluation,”</w:t>
      </w:r>
      <w:r>
        <w:t xml:space="preserve"> </w:t>
      </w:r>
      <w:r>
        <w:rPr>
          <w:i/>
          <w:iCs/>
        </w:rPr>
        <w:t xml:space="preserve">PNAS Nexus</w:t>
      </w:r>
      <w:r>
        <w:t xml:space="preserve">, Mar. 2025, doi:</w:t>
      </w:r>
      <w:r>
        <w:t xml:space="preserve"> </w:t>
      </w:r>
      <w:hyperlink r:id="rId49">
        <w:r>
          <w:rPr>
            <w:rStyle w:val="Hyperlink"/>
          </w:rPr>
          <w:t xml:space="preserve">10.1093/pnasnexus/pgaf089</w:t>
        </w:r>
      </w:hyperlink>
      <w:r>
        <w:t xml:space="preserve">.</w:t>
      </w:r>
    </w:p>
    <w:p>
      <w:pPr>
        <w:pStyle w:val="BodyText"/>
      </w:pPr>
      <w:r>
        <w:t xml:space="preserve">[42]</w:t>
      </w:r>
      <w:r>
        <w:t xml:space="preserve"> </w:t>
      </w:r>
      <w:r>
        <w:t xml:space="preserve">	</w:t>
      </w:r>
      <w:r>
        <w:t xml:space="preserve">F. H. O. Kolo,</w:t>
      </w:r>
      <w:r>
        <w:t xml:space="preserve"> </w:t>
      </w:r>
      <w:r>
        <w:t xml:space="preserve">“Responsible AI for cybersecurity: Assessing the barriers, biases and governance gaps in implementation with e-commerce systems,”</w:t>
      </w:r>
      <w:r>
        <w:t xml:space="preserve"> </w:t>
      </w:r>
      <w:r>
        <w:rPr>
          <w:i/>
          <w:iCs/>
        </w:rPr>
        <w:t xml:space="preserve">Journal of Engineering Research and Reports</w:t>
      </w:r>
      <w:r>
        <w:t xml:space="preserve">, May 2025, doi:</w:t>
      </w:r>
      <w:r>
        <w:t xml:space="preserve"> </w:t>
      </w:r>
      <w:hyperlink r:id="rId50">
        <w:r>
          <w:rPr>
            <w:rStyle w:val="Hyperlink"/>
          </w:rPr>
          <w:t xml:space="preserve">10.9734/jerr/2025/v27i51520</w:t>
        </w:r>
      </w:hyperlink>
      <w:r>
        <w:t xml:space="preserve">.</w:t>
      </w:r>
    </w:p>
    <w:p>
      <w:pPr>
        <w:pStyle w:val="BodyText"/>
      </w:pPr>
      <w:r>
        <w:t xml:space="preserve">[43]</w:t>
      </w:r>
      <w:r>
        <w:t xml:space="preserve"> </w:t>
      </w:r>
      <w:r>
        <w:t xml:space="preserve">	</w:t>
      </w:r>
      <w:r>
        <w:t xml:space="preserve">M. Chawla, A. Mukherjee, L. Prasad, N. Shetty, and R. Sharma,</w:t>
      </w:r>
      <w:r>
        <w:t xml:space="preserve"> </w:t>
      </w:r>
      <w:r>
        <w:t xml:space="preserve">“Toward trustworthy AI systems: A converged architecture for governance, reliability, and automated testing in enterprise platforms,”</w:t>
      </w:r>
      <w:r>
        <w:t xml:space="preserve"> </w:t>
      </w:r>
      <w:r>
        <w:rPr>
          <w:i/>
          <w:iCs/>
        </w:rPr>
        <w:t xml:space="preserve">International Journal of Emerging Trends in Computer Science and Information Technology</w:t>
      </w:r>
      <w:r>
        <w:t xml:space="preserve">, 2024, doi:</w:t>
      </w:r>
      <w:r>
        <w:t xml:space="preserve"> </w:t>
      </w:r>
      <w:hyperlink r:id="rId51">
        <w:r>
          <w:rPr>
            <w:rStyle w:val="Hyperlink"/>
          </w:rPr>
          <w:t xml:space="preserve">10.63282/3050-9246.ijetcsit-v5i3p117</w:t>
        </w:r>
      </w:hyperlink>
      <w:r>
        <w:t xml:space="preserve">.</w:t>
      </w:r>
    </w:p>
    <w:p>
      <w:pPr>
        <w:pStyle w:val="BodyText"/>
      </w:pPr>
      <w:r>
        <w:t xml:space="preserve">[44]</w:t>
      </w:r>
      <w:r>
        <w:t xml:space="preserve"> </w:t>
      </w:r>
      <w:r>
        <w:t xml:space="preserve">	</w:t>
      </w:r>
      <w:r>
        <w:t xml:space="preserve">A. Oyatomi,</w:t>
      </w:r>
      <w:r>
        <w:t xml:space="preserve"> </w:t>
      </w:r>
      <w:r>
        <w:t xml:space="preserve">“Adversarial attacks and defense in AI systems: A review of cybersecurity problems and new protection,”</w:t>
      </w:r>
      <w:r>
        <w:t xml:space="preserve"> </w:t>
      </w:r>
      <w:r>
        <w:rPr>
          <w:i/>
          <w:iCs/>
        </w:rPr>
        <w:t xml:space="preserve">International Journal For Multidisciplinary Research</w:t>
      </w:r>
      <w:r>
        <w:t xml:space="preserve">, Dec. 2025, doi:</w:t>
      </w:r>
      <w:r>
        <w:t xml:space="preserve"> </w:t>
      </w:r>
      <w:hyperlink r:id="rId52">
        <w:r>
          <w:rPr>
            <w:rStyle w:val="Hyperlink"/>
          </w:rPr>
          <w:t xml:space="preserve">10.36948/ijfmr.2025.v07i06.57627</w:t>
        </w:r>
      </w:hyperlink>
      <w:r>
        <w:t xml:space="preserve">.</w:t>
      </w:r>
    </w:p>
    <w:p>
      <w:pPr>
        <w:pStyle w:val="BodyText"/>
      </w:pPr>
      <w:r>
        <w:t xml:space="preserve">[45]</w:t>
      </w:r>
      <w:r>
        <w:t xml:space="preserve"> </w:t>
      </w:r>
      <w:r>
        <w:t xml:space="preserve">	</w:t>
      </w:r>
      <w:r>
        <w:t xml:space="preserve">S. Ajuwon, E. O. Afolabi, A. M. Ako, A. N. Melford, and M. R. Moshood,</w:t>
      </w:r>
      <w:r>
        <w:t xml:space="preserve"> </w:t>
      </w:r>
      <w:r>
        <w:t xml:space="preserve">“AI-driven cybersecurity strategies for detecting threats and enhancing network resilience in critical infrastructure,”</w:t>
      </w:r>
      <w:r>
        <w:t xml:space="preserve"> </w:t>
      </w:r>
      <w:r>
        <w:rPr>
          <w:i/>
          <w:iCs/>
        </w:rPr>
        <w:t xml:space="preserve">Journal of Engineering Research and Reports</w:t>
      </w:r>
      <w:r>
        <w:t xml:space="preserve">, Dec. 2025, doi:</w:t>
      </w:r>
      <w:r>
        <w:t xml:space="preserve"> </w:t>
      </w:r>
      <w:hyperlink r:id="rId53">
        <w:r>
          <w:rPr>
            <w:rStyle w:val="Hyperlink"/>
          </w:rPr>
          <w:t xml:space="preserve">10.9734/jerr/2025/v27i121745</w:t>
        </w:r>
      </w:hyperlink>
      <w:r>
        <w:t xml:space="preserve">.</w:t>
      </w:r>
    </w:p>
    <w:p>
      <w:pPr>
        <w:pStyle w:val="BodyText"/>
      </w:pPr>
      <w:r>
        <w:t xml:space="preserve">[46]</w:t>
      </w:r>
      <w:r>
        <w:t xml:space="preserve"> </w:t>
      </w:r>
      <w:r>
        <w:t xml:space="preserve">	</w:t>
      </w:r>
      <w:r>
        <w:t xml:space="preserve">M. Tazkarji, C.-H. Chou, and G. Hamadeh,</w:t>
      </w:r>
      <w:r>
        <w:t xml:space="preserve"> </w:t>
      </w:r>
      <w:r>
        <w:t xml:space="preserve">“Prioritizing barriers to AI adoption in healthcare enterprise systems: A mixed-methods approach to governance and readiness,”</w:t>
      </w:r>
      <w:r>
        <w:t xml:space="preserve"> </w:t>
      </w:r>
      <w:r>
        <w:rPr>
          <w:i/>
          <w:iCs/>
        </w:rPr>
        <w:t xml:space="preserve">Journal of Enterprise Information Management</w:t>
      </w:r>
      <w:r>
        <w:t xml:space="preserve">, Mar. 2026, doi:</w:t>
      </w:r>
      <w:r>
        <w:t xml:space="preserve"> </w:t>
      </w:r>
      <w:hyperlink r:id="rId54">
        <w:r>
          <w:rPr>
            <w:rStyle w:val="Hyperlink"/>
          </w:rPr>
          <w:t xml:space="preserve">10.1108/jeim-12-2025-1253</w:t>
        </w:r>
      </w:hyperlink>
      <w:r>
        <w:t xml:space="preserve">.</w:t>
      </w:r>
    </w:p>
    <w:p>
      <w:pPr>
        <w:pStyle w:val="BodyText"/>
      </w:pPr>
      <w:r>
        <w:t xml:space="preserve">[47]</w:t>
      </w:r>
      <w:r>
        <w:t xml:space="preserve"> </w:t>
      </w:r>
      <w:r>
        <w:t xml:space="preserve">	</w:t>
      </w:r>
      <w:r>
        <w:t xml:space="preserve">R. R. Golani,</w:t>
      </w:r>
      <w:r>
        <w:t xml:space="preserve"> </w:t>
      </w:r>
      <w:r>
        <w:t xml:space="preserve">“The rise of AI agents: Transforming enterprise automation,”</w:t>
      </w:r>
      <w:r>
        <w:t xml:space="preserve"> </w:t>
      </w:r>
      <w:r>
        <w:rPr>
          <w:i/>
          <w:iCs/>
        </w:rPr>
        <w:t xml:space="preserve">International Journal of Advances in Engineering and Management</w:t>
      </w:r>
      <w:r>
        <w:t xml:space="preserve">, Apr. 2025, doi:</w:t>
      </w:r>
      <w:r>
        <w:t xml:space="preserve"> </w:t>
      </w:r>
      <w:hyperlink r:id="rId55">
        <w:r>
          <w:rPr>
            <w:rStyle w:val="Hyperlink"/>
          </w:rPr>
          <w:t xml:space="preserve">10.35629/5252-0704132139</w:t>
        </w:r>
      </w:hyperlink>
      <w:r>
        <w:t xml:space="preserve">.</w:t>
      </w:r>
    </w:p>
    <w:p>
      <w:pPr>
        <w:pStyle w:val="BodyText"/>
      </w:pPr>
      <w:r>
        <w:t xml:space="preserve">[48]</w:t>
      </w:r>
      <w:r>
        <w:t xml:space="preserve"> </w:t>
      </w:r>
      <w:r>
        <w:t xml:space="preserve">	</w:t>
      </w:r>
      <w:r>
        <w:t xml:space="preserve">V. Acharya,</w:t>
      </w:r>
      <w:r>
        <w:t xml:space="preserve"> </w:t>
      </w:r>
      <w:r>
        <w:t xml:space="preserve">“Governing the agentic enterprise: A governance maturity model for managing AI agent sprawl in business operations,”</w:t>
      </w:r>
      <w:r>
        <w:t xml:space="preserve"> </w:t>
      </w:r>
      <w:r>
        <w:t xml:space="preserve">Mar. 2026, Available:</w:t>
      </w:r>
      <w:r>
        <w:t xml:space="preserve"> </w:t>
      </w:r>
      <w:hyperlink r:id="rId56">
        <w:r>
          <w:rPr>
            <w:rStyle w:val="Hyperlink"/>
          </w:rPr>
          <w:t xml:space="preserve">https://www.semanticscholar.org/paper/cec9745d5c3c0418ba1fd2d368a9e40dbf305f8a</w:t>
        </w:r>
      </w:hyperlink>
    </w:p>
    <w:p>
      <w:pPr>
        <w:pStyle w:val="BodyText"/>
      </w:pPr>
      <w:r>
        <w:t xml:space="preserve">[49]</w:t>
      </w:r>
      <w:r>
        <w:t xml:space="preserve"> </w:t>
      </w:r>
      <w:r>
        <w:t xml:space="preserve">	</w:t>
      </w:r>
      <w:r>
        <w:t xml:space="preserve">S. Mandal, A. Babu, R. Dubey, S. M., and S. M.,</w:t>
      </w:r>
      <w:r>
        <w:t xml:space="preserve"> </w:t>
      </w:r>
      <w:r>
        <w:t xml:space="preserve">“From infrastructure to insight: A systemic analysis of AI adoption barriers in supply chain forecasting,”</w:t>
      </w:r>
      <w:r>
        <w:t xml:space="preserve"> </w:t>
      </w:r>
      <w:r>
        <w:rPr>
          <w:i/>
          <w:iCs/>
        </w:rPr>
        <w:t xml:space="preserve">International Journal of Productivity and Performance Management</w:t>
      </w:r>
      <w:r>
        <w:t xml:space="preserve">, Jan. 2026, doi:</w:t>
      </w:r>
      <w:r>
        <w:t xml:space="preserve"> </w:t>
      </w:r>
      <w:hyperlink r:id="rId57">
        <w:r>
          <w:rPr>
            <w:rStyle w:val="Hyperlink"/>
          </w:rPr>
          <w:t xml:space="preserve">10.1108/ijppm-05-2025-0345</w:t>
        </w:r>
      </w:hyperlink>
      <w:r>
        <w:t xml:space="preserve">.</w:t>
      </w:r>
    </w:p>
    <w:p>
      <w:pPr>
        <w:pStyle w:val="BodyText"/>
      </w:pPr>
      <w:r>
        <w:t xml:space="preserve">[50]</w:t>
      </w:r>
      <w:r>
        <w:t xml:space="preserve"> </w:t>
      </w:r>
      <w:r>
        <w:t xml:space="preserve">	</w:t>
      </w:r>
      <w:r>
        <w:t xml:space="preserve">P. Waditwar,</w:t>
      </w:r>
      <w:r>
        <w:t xml:space="preserve"> </w:t>
      </w:r>
      <w:r>
        <w:t xml:space="preserve">“Overcoming the AI data eclipse: Obstacles to the full adoption of artificial intelligence in the procurement technology sector,”</w:t>
      </w:r>
      <w:r>
        <w:t xml:space="preserve"> </w:t>
      </w:r>
      <w:r>
        <w:rPr>
          <w:i/>
          <w:iCs/>
        </w:rPr>
        <w:t xml:space="preserve">World Journal of Advanced Research and Reviews</w:t>
      </w:r>
      <w:r>
        <w:t xml:space="preserve">, Sept. 2025, doi:</w:t>
      </w:r>
      <w:r>
        <w:t xml:space="preserve"> </w:t>
      </w:r>
      <w:hyperlink r:id="rId58">
        <w:r>
          <w:rPr>
            <w:rStyle w:val="Hyperlink"/>
          </w:rPr>
          <w:t xml:space="preserve">10.30574/wjarr.2025.27.3.3296</w:t>
        </w:r>
      </w:hyperlink>
      <w:r>
        <w:t xml:space="preserve">.</w:t>
      </w:r>
    </w:p>
    <w:p>
      <w:pPr>
        <w:pStyle w:val="BodyText"/>
      </w:pPr>
      <w:r>
        <w:t xml:space="preserve">[51]</w:t>
      </w:r>
      <w:r>
        <w:t xml:space="preserve"> </w:t>
      </w:r>
      <w:r>
        <w:t xml:space="preserve">	</w:t>
      </w:r>
      <w:r>
        <w:t xml:space="preserve">P. R. Atluri,</w:t>
      </w:r>
      <w:r>
        <w:t xml:space="preserve"> </w:t>
      </w:r>
      <w:r>
        <w:t xml:space="preserve">“AI-ready enterprise: Architecting modern data infrastructure for scalable and autonomous insights,”</w:t>
      </w:r>
      <w:r>
        <w:t xml:space="preserve"> </w:t>
      </w:r>
      <w:r>
        <w:rPr>
          <w:i/>
          <w:iCs/>
        </w:rPr>
        <w:t xml:space="preserve">World Journal of Advanced Engineering Technology and Sciences</w:t>
      </w:r>
      <w:r>
        <w:t xml:space="preserve">, June 2025, doi:</w:t>
      </w:r>
      <w:r>
        <w:t xml:space="preserve"> </w:t>
      </w:r>
      <w:hyperlink r:id="rId59">
        <w:r>
          <w:rPr>
            <w:rStyle w:val="Hyperlink"/>
          </w:rPr>
          <w:t xml:space="preserve">10.30574/wjaets.2025.15.3.0934</w:t>
        </w:r>
      </w:hyperlink>
      <w:r>
        <w:t xml:space="preserve">.</w:t>
      </w:r>
    </w:p>
    <w:p>
      <w:pPr>
        <w:pStyle w:val="BodyText"/>
      </w:pPr>
      <w:r>
        <w:t xml:space="preserve">[52]</w:t>
      </w:r>
      <w:r>
        <w:t xml:space="preserve"> </w:t>
      </w:r>
      <w:r>
        <w:t xml:space="preserve">	</w:t>
      </w:r>
      <w:r>
        <w:t xml:space="preserve">K. Subham,</w:t>
      </w:r>
      <w:r>
        <w:t xml:space="preserve"> </w:t>
      </w:r>
      <w:r>
        <w:t xml:space="preserve">“Scalable SaaS implementation governance for enterprise sales operations,”</w:t>
      </w:r>
      <w:r>
        <w:t xml:space="preserve"> </w:t>
      </w:r>
      <w:r>
        <w:rPr>
          <w:i/>
          <w:iCs/>
        </w:rPr>
        <w:t xml:space="preserve">International Journal of Computational and Experimental Science and Engineering</w:t>
      </w:r>
      <w:r>
        <w:t xml:space="preserve">, Aug. 2025, doi:</w:t>
      </w:r>
      <w:r>
        <w:t xml:space="preserve"> </w:t>
      </w:r>
      <w:hyperlink r:id="rId60">
        <w:r>
          <w:rPr>
            <w:rStyle w:val="Hyperlink"/>
          </w:rPr>
          <w:t xml:space="preserve">10.22399/ijcesen.3782</w:t>
        </w:r>
      </w:hyperlink>
      <w:r>
        <w:t xml:space="preserve">.</w:t>
      </w:r>
    </w:p>
    <w:p>
      <w:pPr>
        <w:pStyle w:val="BodyText"/>
      </w:pPr>
      <w:r>
        <w:t xml:space="preserve">[53]</w:t>
      </w:r>
      <w:r>
        <w:t xml:space="preserve"> </w:t>
      </w:r>
      <w:r>
        <w:t xml:space="preserve">	</w:t>
      </w:r>
      <w:r>
        <w:t xml:space="preserve">K. M. Edwards, M. Bauer, C. Jacquillat, A. J. Hart, and F. Ahmed,</w:t>
      </w:r>
      <w:r>
        <w:t xml:space="preserve"> </w:t>
      </w:r>
      <w:r>
        <w:t xml:space="preserve">“Agentic AI in engineering and manufacturing: Industry perspectives on utility, adoption, challenges, and opportunities,”</w:t>
      </w:r>
      <w:r>
        <w:t xml:space="preserve"> </w:t>
      </w:r>
      <w:r>
        <w:t xml:space="preserve">Mar. 2026, Available:</w:t>
      </w:r>
      <w:r>
        <w:t xml:space="preserve"> </w:t>
      </w:r>
      <w:hyperlink r:id="rId61">
        <w:r>
          <w:rPr>
            <w:rStyle w:val="Hyperlink"/>
          </w:rPr>
          <w:t xml:space="preserve">https://www.semanticscholar.org/paper/9c54e45e448e27d13124e1cbe3eba8303495de29</w:t>
        </w:r>
      </w:hyperlink>
    </w:p>
    <w:p>
      <w:pPr>
        <w:pStyle w:val="BodyText"/>
      </w:pPr>
      <w:r>
        <w:t xml:space="preserve">[54]</w:t>
      </w:r>
      <w:r>
        <w:t xml:space="preserve"> </w:t>
      </w:r>
      <w:r>
        <w:t xml:space="preserve">	</w:t>
      </w:r>
      <w:r>
        <w:t xml:space="preserve">M. Alauthman, A. S. Mashaleh, N. Aslam, M. Alkasassbeh, and A. Almomani,</w:t>
      </w:r>
      <w:r>
        <w:t xml:space="preserve"> </w:t>
      </w:r>
      <w:r>
        <w:t xml:space="preserve">“Next-generation critical infrastructure security: A framework for autonomous defense systems,”</w:t>
      </w:r>
      <w:r>
        <w:t xml:space="preserve"> </w:t>
      </w:r>
      <w:r>
        <w:rPr>
          <w:i/>
          <w:iCs/>
        </w:rPr>
        <w:t xml:space="preserve">2025 1st International Conference on Computational Intelligence Approaches and Applications (ICCIAA)</w:t>
      </w:r>
      <w:r>
        <w:t xml:space="preserve">, Apr. 2025, doi:</w:t>
      </w:r>
      <w:r>
        <w:t xml:space="preserve"> </w:t>
      </w:r>
      <w:hyperlink r:id="rId62">
        <w:r>
          <w:rPr>
            <w:rStyle w:val="Hyperlink"/>
          </w:rPr>
          <w:t xml:space="preserve">10.1109/ICCIAA65327.2025.11013052</w:t>
        </w:r>
      </w:hyperlink>
      <w:r>
        <w:t xml:space="preserve">.</w:t>
      </w:r>
    </w:p>
    <w:p>
      <w:pPr>
        <w:pStyle w:val="BodyText"/>
      </w:pPr>
      <w:r>
        <w:t xml:space="preserve">[55]</w:t>
      </w:r>
      <w:r>
        <w:t xml:space="preserve"> </w:t>
      </w:r>
      <w:r>
        <w:t xml:space="preserve">	</w:t>
      </w:r>
      <w:r>
        <w:t xml:space="preserve">J. Loevenich, L. Holz, E. Adler, T. Hürten, F. Spelter, and R. R. F. Lopes,</w:t>
      </w:r>
      <w:r>
        <w:t xml:space="preserve"> </w:t>
      </w:r>
      <w:r>
        <w:t xml:space="preserve">“Automating cybersecurity risk assessment for AI systems in military &amp; critical infrastructure,”</w:t>
      </w:r>
      <w:r>
        <w:t xml:space="preserve"> </w:t>
      </w:r>
      <w:r>
        <w:rPr>
          <w:i/>
          <w:iCs/>
        </w:rPr>
        <w:t xml:space="preserve">IEEE Military Communications Conference</w:t>
      </w:r>
      <w:r>
        <w:t xml:space="preserve">, Oct. 2025, doi:</w:t>
      </w:r>
      <w:r>
        <w:t xml:space="preserve"> </w:t>
      </w:r>
      <w:hyperlink r:id="rId63">
        <w:r>
          <w:rPr>
            <w:rStyle w:val="Hyperlink"/>
          </w:rPr>
          <w:t xml:space="preserve">10.1109/MILCOM64451.2025.11310336</w:t>
        </w:r>
      </w:hyperlink>
      <w:r>
        <w:t xml:space="preserve">.</w:t>
      </w:r>
    </w:p>
    <w:p>
      <w:pPr>
        <w:pStyle w:val="BodyText"/>
      </w:pPr>
      <w:r>
        <w:t xml:space="preserve">[56]</w:t>
      </w:r>
      <w:r>
        <w:t xml:space="preserve"> </w:t>
      </w:r>
      <w:r>
        <w:t xml:space="preserve">	</w:t>
      </w:r>
      <w:r>
        <w:t xml:space="preserve">S. Subash</w:t>
      </w:r>
      <w:r>
        <w:t xml:space="preserve"> </w:t>
      </w:r>
      <w:r>
        <w:rPr>
          <w:i/>
          <w:iCs/>
        </w:rPr>
        <w:t xml:space="preserve">et al.</w:t>
      </w:r>
      <w:r>
        <w:t xml:space="preserve">,</w:t>
      </w:r>
      <w:r>
        <w:t xml:space="preserve"> </w:t>
      </w:r>
      <w:r>
        <w:t xml:space="preserve">“Ai-driven cybersecurity defense for military networks,”</w:t>
      </w:r>
      <w:r>
        <w:t xml:space="preserve"> </w:t>
      </w:r>
      <w:r>
        <w:rPr>
          <w:i/>
          <w:iCs/>
        </w:rPr>
        <w:t xml:space="preserve">2025 IEEE International Conference for Women in Innovation, Technology &amp; Entrepreneurship (ICWITE)</w:t>
      </w:r>
      <w:r>
        <w:t xml:space="preserve">, Sept. 2025, doi:</w:t>
      </w:r>
      <w:r>
        <w:t xml:space="preserve"> </w:t>
      </w:r>
      <w:hyperlink r:id="rId64">
        <w:r>
          <w:rPr>
            <w:rStyle w:val="Hyperlink"/>
          </w:rPr>
          <w:t xml:space="preserve">10.1109/ICWITE64848.2025.11307120</w:t>
        </w:r>
      </w:hyperlink>
      <w:r>
        <w:t xml:space="preserve">.</w:t>
      </w:r>
    </w:p>
    <w:p>
      <w:pPr>
        <w:pStyle w:val="BodyText"/>
      </w:pPr>
      <w:r>
        <w:t xml:space="preserve">[57]</w:t>
      </w:r>
      <w:r>
        <w:t xml:space="preserve"> </w:t>
      </w:r>
      <w:r>
        <w:t xml:space="preserve">	</w:t>
      </w:r>
      <w:r>
        <w:t xml:space="preserve">Y.-B. Choi, P. C. Hong, and Y. S. Park,</w:t>
      </w:r>
      <w:r>
        <w:t xml:space="preserve"> </w:t>
      </w:r>
      <w:r>
        <w:t xml:space="preserve">“Layered control architectures for AI safety: A cybersecurity-oriented systems framework,”</w:t>
      </w:r>
      <w:r>
        <w:t xml:space="preserve"> </w:t>
      </w:r>
      <w:r>
        <w:rPr>
          <w:i/>
          <w:iCs/>
        </w:rPr>
        <w:t xml:space="preserve">Systems</w:t>
      </w:r>
      <w:r>
        <w:t xml:space="preserve">, Apr. 2026, doi:</w:t>
      </w:r>
      <w:r>
        <w:t xml:space="preserve"> </w:t>
      </w:r>
      <w:hyperlink r:id="rId65">
        <w:r>
          <w:rPr>
            <w:rStyle w:val="Hyperlink"/>
          </w:rPr>
          <w:t xml:space="preserve">10.3390/systems14040447</w:t>
        </w:r>
      </w:hyperlink>
      <w:r>
        <w:t xml:space="preserve">.</w:t>
      </w:r>
    </w:p>
    <w:p>
      <w:pPr>
        <w:pStyle w:val="BodyText"/>
      </w:pPr>
      <w:r>
        <w:t xml:space="preserve">[58]</w:t>
      </w:r>
      <w:r>
        <w:t xml:space="preserve"> </w:t>
      </w:r>
      <w:r>
        <w:t xml:space="preserve">	</w:t>
      </w:r>
      <w:r>
        <w:t xml:space="preserve">P. Lakhani,</w:t>
      </w:r>
      <w:r>
        <w:t xml:space="preserve"> </w:t>
      </w:r>
      <w:r>
        <w:t xml:space="preserve">“"AI-driven cybersecurity risks and defense in avionics systems",”</w:t>
      </w:r>
      <w:r>
        <w:t xml:space="preserve"> </w:t>
      </w:r>
      <w:r>
        <w:rPr>
          <w:i/>
          <w:iCs/>
        </w:rPr>
        <w:t xml:space="preserve">INTERNATIONAL JOURNAL OF SCIENTIFIC RESEARCH IN ENGINEERING AND MANAGEMENT</w:t>
      </w:r>
      <w:r>
        <w:t xml:space="preserve">, May 2025, doi:</w:t>
      </w:r>
      <w:r>
        <w:t xml:space="preserve"> </w:t>
      </w:r>
      <w:hyperlink r:id="rId66">
        <w:r>
          <w:rPr>
            <w:rStyle w:val="Hyperlink"/>
          </w:rPr>
          <w:t xml:space="preserve">10.55041/ijsrem47827</w:t>
        </w:r>
      </w:hyperlink>
      <w:r>
        <w:t xml:space="preserve">.</w:t>
      </w:r>
    </w:p>
    <w:p>
      <w:pPr>
        <w:pStyle w:val="BodyText"/>
      </w:pPr>
      <w:r>
        <w:t xml:space="preserve">[59]</w:t>
      </w:r>
      <w:r>
        <w:t xml:space="preserve"> </w:t>
      </w:r>
      <w:r>
        <w:t xml:space="preserve">	</w:t>
      </w:r>
      <w:r>
        <w:t xml:space="preserve">J. Loevenich</w:t>
      </w:r>
      <w:r>
        <w:t xml:space="preserve"> </w:t>
      </w:r>
      <w:r>
        <w:rPr>
          <w:i/>
          <w:iCs/>
        </w:rPr>
        <w:t xml:space="preserve">et al.</w:t>
      </w:r>
      <w:r>
        <w:t xml:space="preserve">,</w:t>
      </w:r>
      <w:r>
        <w:t xml:space="preserve"> </w:t>
      </w:r>
      <w:r>
        <w:t xml:space="preserve">“Training autonomous cyber defense agents: Challenges &amp; opportunities in military networks,”</w:t>
      </w:r>
      <w:r>
        <w:t xml:space="preserve"> </w:t>
      </w:r>
      <w:r>
        <w:rPr>
          <w:i/>
          <w:iCs/>
        </w:rPr>
        <w:t xml:space="preserve">IEEE Military Communications Conference</w:t>
      </w:r>
      <w:r>
        <w:t xml:space="preserve">, Oct. 2024, doi:</w:t>
      </w:r>
      <w:r>
        <w:t xml:space="preserve"> </w:t>
      </w:r>
      <w:hyperlink r:id="rId67">
        <w:r>
          <w:rPr>
            <w:rStyle w:val="Hyperlink"/>
          </w:rPr>
          <w:t xml:space="preserve">10.1109/MILCOM61039.2024.10773923</w:t>
        </w:r>
      </w:hyperlink>
      <w:r>
        <w:t xml:space="preserve">.</w:t>
      </w:r>
    </w:p>
    <w:p>
      <w:pPr>
        <w:pStyle w:val="BodyText"/>
      </w:pPr>
      <w:r>
        <w:t xml:space="preserve">[60]</w:t>
      </w:r>
      <w:r>
        <w:t xml:space="preserve"> </w:t>
      </w:r>
      <w:r>
        <w:t xml:space="preserve">	</w:t>
      </w:r>
      <w:r>
        <w:t xml:space="preserve">Y. Wu and C.-C. Shen,</w:t>
      </w:r>
      <w:r>
        <w:t xml:space="preserve"> </w:t>
      </w:r>
      <w:r>
        <w:t xml:space="preserve">“MLLM-driven autonomous driving: Closed-loop decision-making with language-state alignment and human instruction integration,”</w:t>
      </w:r>
      <w:r>
        <w:t xml:space="preserve"> </w:t>
      </w:r>
      <w:r>
        <w:rPr>
          <w:i/>
          <w:iCs/>
        </w:rPr>
        <w:t xml:space="preserve">ACM Journal on Autonomous Transportation Systems</w:t>
      </w:r>
      <w:r>
        <w:t xml:space="preserve">, Apr. 2026, doi:</w:t>
      </w:r>
      <w:r>
        <w:t xml:space="preserve"> </w:t>
      </w:r>
      <w:hyperlink r:id="rId68">
        <w:r>
          <w:rPr>
            <w:rStyle w:val="Hyperlink"/>
          </w:rPr>
          <w:t xml:space="preserve">10.1145/3811541</w:t>
        </w:r>
      </w:hyperlink>
      <w:r>
        <w:t xml:space="preserve">.</w:t>
      </w:r>
    </w:p>
    <w:p>
      <w:pPr>
        <w:pStyle w:val="BodyText"/>
      </w:pPr>
      <w:r>
        <w:t xml:space="preserve">[61]</w:t>
      </w:r>
      <w:r>
        <w:t xml:space="preserve"> </w:t>
      </w:r>
      <w:r>
        <w:t xml:space="preserve">	</w:t>
      </w:r>
      <w:r>
        <w:t xml:space="preserve">J. Sarwar, V. Kumar, S. Afrin, and A. Gupta,</w:t>
      </w:r>
      <w:r>
        <w:t xml:space="preserve"> </w:t>
      </w:r>
      <w:r>
        <w:t xml:space="preserve">“Intelligent cybersecurity systems to safeguard u.s. National interests using AI and machine learning,”</w:t>
      </w:r>
      <w:r>
        <w:t xml:space="preserve"> </w:t>
      </w:r>
      <w:r>
        <w:rPr>
          <w:i/>
          <w:iCs/>
        </w:rPr>
        <w:t xml:space="preserve">Research Journal of Engineering and Medical Science</w:t>
      </w:r>
      <w:r>
        <w:t xml:space="preserve">, Sept. 2025, doi:</w:t>
      </w:r>
      <w:r>
        <w:t xml:space="preserve"> </w:t>
      </w:r>
      <w:hyperlink r:id="rId69">
        <w:r>
          <w:rPr>
            <w:rStyle w:val="Hyperlink"/>
          </w:rPr>
          <w:t xml:space="preserve">10.71437/rjems.v1i2.35</w:t>
        </w:r>
      </w:hyperlink>
      <w:r>
        <w:t xml:space="preserve">.</w:t>
      </w:r>
    </w:p>
    <w:p>
      <w:pPr>
        <w:pStyle w:val="BodyText"/>
      </w:pPr>
      <w:r>
        <w:t xml:space="preserve">[62]</w:t>
      </w:r>
      <w:r>
        <w:t xml:space="preserve"> </w:t>
      </w:r>
      <w:r>
        <w:t xml:space="preserve">	</w:t>
      </w:r>
      <w:r>
        <w:t xml:space="preserve">I. W. Eisenberg, L. Gamboa, and E. Sherman,</w:t>
      </w:r>
      <w:r>
        <w:t xml:space="preserve"> </w:t>
      </w:r>
      <w:r>
        <w:t xml:space="preserve">“The unified control framework: Establishing a common foundation for enterprise AI governance, risk management and regulatory compliance,”</w:t>
      </w:r>
      <w:r>
        <w:t xml:space="preserve"> </w:t>
      </w:r>
      <w:r>
        <w:rPr>
          <w:i/>
          <w:iCs/>
        </w:rPr>
        <w:t xml:space="preserve">arXiv.org</w:t>
      </w:r>
      <w:r>
        <w:t xml:space="preserve">, Mar. 2025, doi:</w:t>
      </w:r>
      <w:r>
        <w:t xml:space="preserve"> </w:t>
      </w:r>
      <w:hyperlink r:id="rId70">
        <w:r>
          <w:rPr>
            <w:rStyle w:val="Hyperlink"/>
          </w:rPr>
          <w:t xml:space="preserve">10.48550/arXiv.2503.05937</w:t>
        </w:r>
      </w:hyperlink>
      <w:r>
        <w:t xml:space="preserve">.</w:t>
      </w:r>
    </w:p>
    <w:p>
      <w:pPr>
        <w:pStyle w:val="BodyText"/>
      </w:pPr>
      <w:r>
        <w:t xml:space="preserve">[63]</w:t>
      </w:r>
      <w:r>
        <w:t xml:space="preserve"> </w:t>
      </w:r>
      <w:r>
        <w:t xml:space="preserve">	</w:t>
      </w:r>
      <w:r>
        <w:t xml:space="preserve">P. Viktor and G. Kiss,</w:t>
      </w:r>
      <w:r>
        <w:t xml:space="preserve"> </w:t>
      </w:r>
      <w:r>
        <w:t xml:space="preserve">“Knowledge graphs in autonomous driving: Construction, integration, and real-time reasoning,”</w:t>
      </w:r>
      <w:r>
        <w:t xml:space="preserve"> </w:t>
      </w:r>
      <w:r>
        <w:rPr>
          <w:i/>
          <w:iCs/>
        </w:rPr>
        <w:t xml:space="preserve">Machine Learning and Knowledge Extraction</w:t>
      </w:r>
      <w:r>
        <w:t xml:space="preserve">, May 2026, doi:</w:t>
      </w:r>
      <w:r>
        <w:t xml:space="preserve"> </w:t>
      </w:r>
      <w:hyperlink r:id="rId71">
        <w:r>
          <w:rPr>
            <w:rStyle w:val="Hyperlink"/>
          </w:rPr>
          <w:t xml:space="preserve">10.3390/make8050126</w:t>
        </w:r>
      </w:hyperlink>
      <w:r>
        <w:t xml:space="preserve">.</w:t>
      </w:r>
    </w:p>
    <w:p>
      <w:pPr>
        <w:pStyle w:val="BodyText"/>
      </w:pPr>
      <w:r>
        <w:t xml:space="preserve">[64]</w:t>
      </w:r>
      <w:r>
        <w:t xml:space="preserve"> </w:t>
      </w:r>
      <w:r>
        <w:t xml:space="preserve">	</w:t>
      </w:r>
      <w:r>
        <w:t xml:space="preserve">P. D. Gawande,</w:t>
      </w:r>
      <w:r>
        <w:t xml:space="preserve"> </w:t>
      </w:r>
      <w:r>
        <w:t xml:space="preserve">“From reactive to proactive: Real-time human-AI collaboration in intelligent alerting systems,”</w:t>
      </w:r>
      <w:r>
        <w:t xml:space="preserve"> </w:t>
      </w:r>
      <w:r>
        <w:rPr>
          <w:i/>
          <w:iCs/>
        </w:rPr>
        <w:t xml:space="preserve">Journal of Computer Science and Technology Studies</w:t>
      </w:r>
      <w:r>
        <w:t xml:space="preserve">, June 2025, doi:</w:t>
      </w:r>
      <w:r>
        <w:t xml:space="preserve"> </w:t>
      </w:r>
      <w:hyperlink r:id="rId72">
        <w:r>
          <w:rPr>
            <w:rStyle w:val="Hyperlink"/>
          </w:rPr>
          <w:t xml:space="preserve">10.32996/jcsts.2025.7.127</w:t>
        </w:r>
      </w:hyperlink>
      <w:r>
        <w:t xml:space="preserve">.</w:t>
      </w:r>
    </w:p>
    <w:p>
      <w:pPr>
        <w:pStyle w:val="BodyText"/>
      </w:pPr>
      <w:r>
        <w:t xml:space="preserve">[65]</w:t>
      </w:r>
      <w:r>
        <w:t xml:space="preserve"> </w:t>
      </w:r>
      <w:r>
        <w:t xml:space="preserve">	</w:t>
      </w:r>
      <w:r>
        <w:t xml:space="preserve">T. Adenuga, N. Ayanbode, T. Ayobami, and F. C. Okolo,</w:t>
      </w:r>
      <w:r>
        <w:t xml:space="preserve"> </w:t>
      </w:r>
      <w:r>
        <w:t xml:space="preserve">“Supporting AI in logistics optimization through data integration, real-time analytics, and autonomous systems,”</w:t>
      </w:r>
      <w:r>
        <w:t xml:space="preserve"> </w:t>
      </w:r>
      <w:r>
        <w:rPr>
          <w:i/>
          <w:iCs/>
        </w:rPr>
        <w:t xml:space="preserve">International Journal of Scientific Research in Science Engineering and Technology</w:t>
      </w:r>
      <w:r>
        <w:t xml:space="preserve">, June 2024, doi:</w:t>
      </w:r>
      <w:r>
        <w:t xml:space="preserve"> </w:t>
      </w:r>
      <w:hyperlink r:id="rId73">
        <w:r>
          <w:rPr>
            <w:rStyle w:val="Hyperlink"/>
          </w:rPr>
          <w:t xml:space="preserve">10.32628/ijsrset241487</w:t>
        </w:r>
      </w:hyperlink>
      <w:r>
        <w:t xml:space="preserve">.</w:t>
      </w:r>
    </w:p>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23" Target="https://doi.org/10.1038/s41598-025-19257-3" TargetMode="External" /><Relationship Type="http://schemas.openxmlformats.org/officeDocument/2006/relationships/hyperlink" Id="rId49" Target="https://doi.org/10.1093/pnasnexus/pgaf089" TargetMode="External" /><Relationship Type="http://schemas.openxmlformats.org/officeDocument/2006/relationships/hyperlink" Id="rId43" Target="https://doi.org/10.1097/ACO.0000000000001625" TargetMode="External" /><Relationship Type="http://schemas.openxmlformats.org/officeDocument/2006/relationships/hyperlink" Id="rId37" Target="https://doi.org/10.1108/dta-06-2025-0512" TargetMode="External" /><Relationship Type="http://schemas.openxmlformats.org/officeDocument/2006/relationships/hyperlink" Id="rId57" Target="https://doi.org/10.1108/ijppm-05-2025-0345" TargetMode="External" /><Relationship Type="http://schemas.openxmlformats.org/officeDocument/2006/relationships/hyperlink" Id="rId54" Target="https://doi.org/10.1108/jeim-12-2025-1253" TargetMode="External" /><Relationship Type="http://schemas.openxmlformats.org/officeDocument/2006/relationships/hyperlink" Id="rId45" Target="https://doi.org/10.1109/CAI64502.2025.00264" TargetMode="External" /><Relationship Type="http://schemas.openxmlformats.org/officeDocument/2006/relationships/hyperlink" Id="rId62" Target="https://doi.org/10.1109/ICCIAA65327.2025.11013052" TargetMode="External" /><Relationship Type="http://schemas.openxmlformats.org/officeDocument/2006/relationships/hyperlink" Id="rId31" Target="https://doi.org/10.1109/ICEACE67491.2025.11439432" TargetMode="External" /><Relationship Type="http://schemas.openxmlformats.org/officeDocument/2006/relationships/hyperlink" Id="rId35" Target="https://doi.org/10.1109/ICNTE66387.2026.11437514" TargetMode="External" /><Relationship Type="http://schemas.openxmlformats.org/officeDocument/2006/relationships/hyperlink" Id="rId40" Target="https://doi.org/10.1109/ICSADL67539.2026.11452115" TargetMode="External" /><Relationship Type="http://schemas.openxmlformats.org/officeDocument/2006/relationships/hyperlink" Id="rId64" Target="https://doi.org/10.1109/ICWITE64848.2025.11307120" TargetMode="External" /><Relationship Type="http://schemas.openxmlformats.org/officeDocument/2006/relationships/hyperlink" Id="rId21" Target="https://doi.org/10.1109/MIC.2025.3588546" TargetMode="External" /><Relationship Type="http://schemas.openxmlformats.org/officeDocument/2006/relationships/hyperlink" Id="rId67" Target="https://doi.org/10.1109/MILCOM61039.2024.10773923" TargetMode="External" /><Relationship Type="http://schemas.openxmlformats.org/officeDocument/2006/relationships/hyperlink" Id="rId63" Target="https://doi.org/10.1109/MILCOM64451.2025.11310336" TargetMode="External" /><Relationship Type="http://schemas.openxmlformats.org/officeDocument/2006/relationships/hyperlink" Id="rId18" Target="https://doi.org/10.1109/MODELS-C68889.2025.00032" TargetMode="External" /><Relationship Type="http://schemas.openxmlformats.org/officeDocument/2006/relationships/hyperlink" Id="rId16" Target="https://doi.org/10.1109/RAIT65068.2025.11088890" TargetMode="External" /><Relationship Type="http://schemas.openxmlformats.org/officeDocument/2006/relationships/hyperlink" Id="rId41" Target="https://doi.org/10.1109/WSC63780.2024.10838871" TargetMode="External" /><Relationship Type="http://schemas.openxmlformats.org/officeDocument/2006/relationships/hyperlink" Id="rId24" Target="https://doi.org/10.1145/3661304.3661901" TargetMode="External" /><Relationship Type="http://schemas.openxmlformats.org/officeDocument/2006/relationships/hyperlink" Id="rId20" Target="https://doi.org/10.1145/3785706.3785796" TargetMode="External" /><Relationship Type="http://schemas.openxmlformats.org/officeDocument/2006/relationships/hyperlink" Id="rId19" Target="https://doi.org/10.1145/3795154.3795280" TargetMode="External" /><Relationship Type="http://schemas.openxmlformats.org/officeDocument/2006/relationships/hyperlink" Id="rId68" Target="https://doi.org/10.1145/3811541" TargetMode="External" /><Relationship Type="http://schemas.openxmlformats.org/officeDocument/2006/relationships/hyperlink" Id="rId36" Target="https://doi.org/10.15662/ijeetr.2024.0602005" TargetMode="External" /><Relationship Type="http://schemas.openxmlformats.org/officeDocument/2006/relationships/hyperlink" Id="rId17" Target="https://doi.org/10.15680/ijctece.2023.0605009" TargetMode="External" /><Relationship Type="http://schemas.openxmlformats.org/officeDocument/2006/relationships/hyperlink" Id="rId26" Target="https://doi.org/10.1609/aaai.v39i27.35090" TargetMode="External" /><Relationship Type="http://schemas.openxmlformats.org/officeDocument/2006/relationships/hyperlink" Id="rId27" Target="https://doi.org/10.18653/v1/2024.naacl-industry.42" TargetMode="External" /><Relationship Type="http://schemas.openxmlformats.org/officeDocument/2006/relationships/hyperlink" Id="rId11" Target="https://doi.org/10.21070/acopen.10.2025.11734" TargetMode="External" /><Relationship Type="http://schemas.openxmlformats.org/officeDocument/2006/relationships/hyperlink" Id="rId38" Target="https://doi.org/10.21590/ijhit.06.03.05" TargetMode="External" /><Relationship Type="http://schemas.openxmlformats.org/officeDocument/2006/relationships/hyperlink" Id="rId44" Target="https://doi.org/10.2196/66273" TargetMode="External" /><Relationship Type="http://schemas.openxmlformats.org/officeDocument/2006/relationships/hyperlink" Id="rId60" Target="https://doi.org/10.22399/ijcesen.3782" TargetMode="External" /><Relationship Type="http://schemas.openxmlformats.org/officeDocument/2006/relationships/hyperlink" Id="rId33" Target="https://doi.org/10.30574/gscarr.2025.25.3.0372" TargetMode="External" /><Relationship Type="http://schemas.openxmlformats.org/officeDocument/2006/relationships/hyperlink" Id="rId59" Target="https://doi.org/10.30574/wjaets.2025.15.3.0934" TargetMode="External" /><Relationship Type="http://schemas.openxmlformats.org/officeDocument/2006/relationships/hyperlink" Id="rId58" Target="https://doi.org/10.30574/wjarr.2025.27.3.3296" TargetMode="External" /><Relationship Type="http://schemas.openxmlformats.org/officeDocument/2006/relationships/hyperlink" Id="rId73" Target="https://doi.org/10.32628/ijsrset241487" TargetMode="External" /><Relationship Type="http://schemas.openxmlformats.org/officeDocument/2006/relationships/hyperlink" Id="rId72" Target="https://doi.org/10.32996/jcsts.2025.7.127" TargetMode="External" /><Relationship Type="http://schemas.openxmlformats.org/officeDocument/2006/relationships/hyperlink" Id="rId46" Target="https://doi.org/10.3390/electronics15102184" TargetMode="External" /><Relationship Type="http://schemas.openxmlformats.org/officeDocument/2006/relationships/hyperlink" Id="rId71" Target="https://doi.org/10.3390/make8050126" TargetMode="External" /><Relationship Type="http://schemas.openxmlformats.org/officeDocument/2006/relationships/hyperlink" Id="rId32" Target="https://doi.org/10.3390/s26010124" TargetMode="External" /><Relationship Type="http://schemas.openxmlformats.org/officeDocument/2006/relationships/hyperlink" Id="rId65" Target="https://doi.org/10.3390/systems14040447" TargetMode="External" /><Relationship Type="http://schemas.openxmlformats.org/officeDocument/2006/relationships/hyperlink" Id="rId55" Target="https://doi.org/10.35629/5252-0704132139" TargetMode="External" /><Relationship Type="http://schemas.openxmlformats.org/officeDocument/2006/relationships/hyperlink" Id="rId47" Target="https://doi.org/10.36948/ijfmr.2025.v07i04.54383" TargetMode="External" /><Relationship Type="http://schemas.openxmlformats.org/officeDocument/2006/relationships/hyperlink" Id="rId52" Target="https://doi.org/10.36948/ijfmr.2025.v07i06.57627" TargetMode="External" /><Relationship Type="http://schemas.openxmlformats.org/officeDocument/2006/relationships/hyperlink" Id="rId9" Target="https://doi.org/10.47392/irjaem.2026.0233" TargetMode="External" /><Relationship Type="http://schemas.openxmlformats.org/officeDocument/2006/relationships/hyperlink" Id="rId25" Target="https://doi.org/10.48550/arXiv.2307.03875" TargetMode="External" /><Relationship Type="http://schemas.openxmlformats.org/officeDocument/2006/relationships/hyperlink" Id="rId48" Target="https://doi.org/10.48550/arXiv.2502.09994" TargetMode="External" /><Relationship Type="http://schemas.openxmlformats.org/officeDocument/2006/relationships/hyperlink" Id="rId70" Target="https://doi.org/10.48550/arXiv.2503.05937" TargetMode="External" /><Relationship Type="http://schemas.openxmlformats.org/officeDocument/2006/relationships/hyperlink" Id="rId28" Target="https://doi.org/10.48550/arXiv.2505.11792" TargetMode="External" /><Relationship Type="http://schemas.openxmlformats.org/officeDocument/2006/relationships/hyperlink" Id="rId30" Target="https://doi.org/10.48550/arXiv.2505.18553" TargetMode="External" /><Relationship Type="http://schemas.openxmlformats.org/officeDocument/2006/relationships/hyperlink" Id="rId39" Target="https://doi.org/10.48550/arXiv.2506.13068" TargetMode="External" /><Relationship Type="http://schemas.openxmlformats.org/officeDocument/2006/relationships/hyperlink" Id="rId22" Target="https://doi.org/10.48550/arXiv.2510.16802" TargetMode="External" /><Relationship Type="http://schemas.openxmlformats.org/officeDocument/2006/relationships/hyperlink" Id="rId13" Target="https://doi.org/10.48550/arXiv.2511.06119" TargetMode="External" /><Relationship Type="http://schemas.openxmlformats.org/officeDocument/2006/relationships/hyperlink" Id="rId66" Target="https://doi.org/10.55041/ijsrem47827" TargetMode="External" /><Relationship Type="http://schemas.openxmlformats.org/officeDocument/2006/relationships/hyperlink" Id="rId34" Target="https://doi.org/10.55041/isjem06236" TargetMode="External" /><Relationship Type="http://schemas.openxmlformats.org/officeDocument/2006/relationships/hyperlink" Id="rId42" Target="https://doi.org/10.63282/3050-922x.ijeret-v5i2p118" TargetMode="External" /><Relationship Type="http://schemas.openxmlformats.org/officeDocument/2006/relationships/hyperlink" Id="rId51" Target="https://doi.org/10.63282/3050-9246.ijetcsit-v5i3p117" TargetMode="External" /><Relationship Type="http://schemas.openxmlformats.org/officeDocument/2006/relationships/hyperlink" Id="rId10" Target="https://doi.org/10.63503/j.ijaimd.2025.110" TargetMode="External" /><Relationship Type="http://schemas.openxmlformats.org/officeDocument/2006/relationships/hyperlink" Id="rId12" Target="https://doi.org/10.65521/ijaece.v14i1.881" TargetMode="External" /><Relationship Type="http://schemas.openxmlformats.org/officeDocument/2006/relationships/hyperlink" Id="rId14" Target="https://doi.org/10.69888/ftsin.2025.000538" TargetMode="External" /><Relationship Type="http://schemas.openxmlformats.org/officeDocument/2006/relationships/hyperlink" Id="rId15" Target="https://doi.org/10.71143/jcbc8491" TargetMode="External" /><Relationship Type="http://schemas.openxmlformats.org/officeDocument/2006/relationships/hyperlink" Id="rId69" Target="https://doi.org/10.71437/rjems.v1i2.35" TargetMode="External" /><Relationship Type="http://schemas.openxmlformats.org/officeDocument/2006/relationships/hyperlink" Id="rId29" Target="https://doi.org/10.71465/ajainn473" TargetMode="External" /><Relationship Type="http://schemas.openxmlformats.org/officeDocument/2006/relationships/hyperlink" Id="rId53" Target="https://doi.org/10.9734/jerr/2025/v27i121745" TargetMode="External" /><Relationship Type="http://schemas.openxmlformats.org/officeDocument/2006/relationships/hyperlink" Id="rId50" Target="https://doi.org/10.9734/jerr/2025/v27i51520" TargetMode="External" /><Relationship Type="http://schemas.openxmlformats.org/officeDocument/2006/relationships/hyperlink" Id="rId61" Target="https://www.semanticscholar.org/paper/9c54e45e448e27d13124e1cbe3eba8303495de29" TargetMode="External" /><Relationship Type="http://schemas.openxmlformats.org/officeDocument/2006/relationships/hyperlink" Id="rId56" Target="https://www.semanticscholar.org/paper/cec9745d5c3c0418ba1fd2d368a9e40dbf305f8a" TargetMode="External" /></Relationships>
</file>

<file path=word/_rels/footnotes.xml.rels><?xml version="1.0" encoding="UTF-8"?><Relationships xmlns="http://schemas.openxmlformats.org/package/2006/relationships"><Relationship Type="http://schemas.openxmlformats.org/officeDocument/2006/relationships/hyperlink" Id="rId23" Target="https://doi.org/10.1038/s41598-025-19257-3" TargetMode="External" /><Relationship Type="http://schemas.openxmlformats.org/officeDocument/2006/relationships/hyperlink" Id="rId49" Target="https://doi.org/10.1093/pnasnexus/pgaf089" TargetMode="External" /><Relationship Type="http://schemas.openxmlformats.org/officeDocument/2006/relationships/hyperlink" Id="rId43" Target="https://doi.org/10.1097/ACO.0000000000001625" TargetMode="External" /><Relationship Type="http://schemas.openxmlformats.org/officeDocument/2006/relationships/hyperlink" Id="rId37" Target="https://doi.org/10.1108/dta-06-2025-0512" TargetMode="External" /><Relationship Type="http://schemas.openxmlformats.org/officeDocument/2006/relationships/hyperlink" Id="rId57" Target="https://doi.org/10.1108/ijppm-05-2025-0345" TargetMode="External" /><Relationship Type="http://schemas.openxmlformats.org/officeDocument/2006/relationships/hyperlink" Id="rId54" Target="https://doi.org/10.1108/jeim-12-2025-1253" TargetMode="External" /><Relationship Type="http://schemas.openxmlformats.org/officeDocument/2006/relationships/hyperlink" Id="rId45" Target="https://doi.org/10.1109/CAI64502.2025.00264" TargetMode="External" /><Relationship Type="http://schemas.openxmlformats.org/officeDocument/2006/relationships/hyperlink" Id="rId62" Target="https://doi.org/10.1109/ICCIAA65327.2025.11013052" TargetMode="External" /><Relationship Type="http://schemas.openxmlformats.org/officeDocument/2006/relationships/hyperlink" Id="rId31" Target="https://doi.org/10.1109/ICEACE67491.2025.11439432" TargetMode="External" /><Relationship Type="http://schemas.openxmlformats.org/officeDocument/2006/relationships/hyperlink" Id="rId35" Target="https://doi.org/10.1109/ICNTE66387.2026.11437514" TargetMode="External" /><Relationship Type="http://schemas.openxmlformats.org/officeDocument/2006/relationships/hyperlink" Id="rId40" Target="https://doi.org/10.1109/ICSADL67539.2026.11452115" TargetMode="External" /><Relationship Type="http://schemas.openxmlformats.org/officeDocument/2006/relationships/hyperlink" Id="rId64" Target="https://doi.org/10.1109/ICWITE64848.2025.11307120" TargetMode="External" /><Relationship Type="http://schemas.openxmlformats.org/officeDocument/2006/relationships/hyperlink" Id="rId21" Target="https://doi.org/10.1109/MIC.2025.3588546" TargetMode="External" /><Relationship Type="http://schemas.openxmlformats.org/officeDocument/2006/relationships/hyperlink" Id="rId67" Target="https://doi.org/10.1109/MILCOM61039.2024.10773923" TargetMode="External" /><Relationship Type="http://schemas.openxmlformats.org/officeDocument/2006/relationships/hyperlink" Id="rId63" Target="https://doi.org/10.1109/MILCOM64451.2025.11310336" TargetMode="External" /><Relationship Type="http://schemas.openxmlformats.org/officeDocument/2006/relationships/hyperlink" Id="rId18" Target="https://doi.org/10.1109/MODELS-C68889.2025.00032" TargetMode="External" /><Relationship Type="http://schemas.openxmlformats.org/officeDocument/2006/relationships/hyperlink" Id="rId16" Target="https://doi.org/10.1109/RAIT65068.2025.11088890" TargetMode="External" /><Relationship Type="http://schemas.openxmlformats.org/officeDocument/2006/relationships/hyperlink" Id="rId41" Target="https://doi.org/10.1109/WSC63780.2024.10838871" TargetMode="External" /><Relationship Type="http://schemas.openxmlformats.org/officeDocument/2006/relationships/hyperlink" Id="rId24" Target="https://doi.org/10.1145/3661304.3661901" TargetMode="External" /><Relationship Type="http://schemas.openxmlformats.org/officeDocument/2006/relationships/hyperlink" Id="rId20" Target="https://doi.org/10.1145/3785706.3785796" TargetMode="External" /><Relationship Type="http://schemas.openxmlformats.org/officeDocument/2006/relationships/hyperlink" Id="rId19" Target="https://doi.org/10.1145/3795154.3795280" TargetMode="External" /><Relationship Type="http://schemas.openxmlformats.org/officeDocument/2006/relationships/hyperlink" Id="rId68" Target="https://doi.org/10.1145/3811541" TargetMode="External" /><Relationship Type="http://schemas.openxmlformats.org/officeDocument/2006/relationships/hyperlink" Id="rId36" Target="https://doi.org/10.15662/ijeetr.2024.0602005" TargetMode="External" /><Relationship Type="http://schemas.openxmlformats.org/officeDocument/2006/relationships/hyperlink" Id="rId17" Target="https://doi.org/10.15680/ijctece.2023.0605009" TargetMode="External" /><Relationship Type="http://schemas.openxmlformats.org/officeDocument/2006/relationships/hyperlink" Id="rId26" Target="https://doi.org/10.1609/aaai.v39i27.35090" TargetMode="External" /><Relationship Type="http://schemas.openxmlformats.org/officeDocument/2006/relationships/hyperlink" Id="rId27" Target="https://doi.org/10.18653/v1/2024.naacl-industry.42" TargetMode="External" /><Relationship Type="http://schemas.openxmlformats.org/officeDocument/2006/relationships/hyperlink" Id="rId11" Target="https://doi.org/10.21070/acopen.10.2025.11734" TargetMode="External" /><Relationship Type="http://schemas.openxmlformats.org/officeDocument/2006/relationships/hyperlink" Id="rId38" Target="https://doi.org/10.21590/ijhit.06.03.05" TargetMode="External" /><Relationship Type="http://schemas.openxmlformats.org/officeDocument/2006/relationships/hyperlink" Id="rId44" Target="https://doi.org/10.2196/66273" TargetMode="External" /><Relationship Type="http://schemas.openxmlformats.org/officeDocument/2006/relationships/hyperlink" Id="rId60" Target="https://doi.org/10.22399/ijcesen.3782" TargetMode="External" /><Relationship Type="http://schemas.openxmlformats.org/officeDocument/2006/relationships/hyperlink" Id="rId33" Target="https://doi.org/10.30574/gscarr.2025.25.3.0372" TargetMode="External" /><Relationship Type="http://schemas.openxmlformats.org/officeDocument/2006/relationships/hyperlink" Id="rId59" Target="https://doi.org/10.30574/wjaets.2025.15.3.0934" TargetMode="External" /><Relationship Type="http://schemas.openxmlformats.org/officeDocument/2006/relationships/hyperlink" Id="rId58" Target="https://doi.org/10.30574/wjarr.2025.27.3.3296" TargetMode="External" /><Relationship Type="http://schemas.openxmlformats.org/officeDocument/2006/relationships/hyperlink" Id="rId73" Target="https://doi.org/10.32628/ijsrset241487" TargetMode="External" /><Relationship Type="http://schemas.openxmlformats.org/officeDocument/2006/relationships/hyperlink" Id="rId72" Target="https://doi.org/10.32996/jcsts.2025.7.127" TargetMode="External" /><Relationship Type="http://schemas.openxmlformats.org/officeDocument/2006/relationships/hyperlink" Id="rId46" Target="https://doi.org/10.3390/electronics15102184" TargetMode="External" /><Relationship Type="http://schemas.openxmlformats.org/officeDocument/2006/relationships/hyperlink" Id="rId71" Target="https://doi.org/10.3390/make8050126" TargetMode="External" /><Relationship Type="http://schemas.openxmlformats.org/officeDocument/2006/relationships/hyperlink" Id="rId32" Target="https://doi.org/10.3390/s26010124" TargetMode="External" /><Relationship Type="http://schemas.openxmlformats.org/officeDocument/2006/relationships/hyperlink" Id="rId65" Target="https://doi.org/10.3390/systems14040447" TargetMode="External" /><Relationship Type="http://schemas.openxmlformats.org/officeDocument/2006/relationships/hyperlink" Id="rId55" Target="https://doi.org/10.35629/5252-0704132139" TargetMode="External" /><Relationship Type="http://schemas.openxmlformats.org/officeDocument/2006/relationships/hyperlink" Id="rId47" Target="https://doi.org/10.36948/ijfmr.2025.v07i04.54383" TargetMode="External" /><Relationship Type="http://schemas.openxmlformats.org/officeDocument/2006/relationships/hyperlink" Id="rId52" Target="https://doi.org/10.36948/ijfmr.2025.v07i06.57627" TargetMode="External" /><Relationship Type="http://schemas.openxmlformats.org/officeDocument/2006/relationships/hyperlink" Id="rId9" Target="https://doi.org/10.47392/irjaem.2026.0233" TargetMode="External" /><Relationship Type="http://schemas.openxmlformats.org/officeDocument/2006/relationships/hyperlink" Id="rId25" Target="https://doi.org/10.48550/arXiv.2307.03875" TargetMode="External" /><Relationship Type="http://schemas.openxmlformats.org/officeDocument/2006/relationships/hyperlink" Id="rId48" Target="https://doi.org/10.48550/arXiv.2502.09994" TargetMode="External" /><Relationship Type="http://schemas.openxmlformats.org/officeDocument/2006/relationships/hyperlink" Id="rId70" Target="https://doi.org/10.48550/arXiv.2503.05937" TargetMode="External" /><Relationship Type="http://schemas.openxmlformats.org/officeDocument/2006/relationships/hyperlink" Id="rId28" Target="https://doi.org/10.48550/arXiv.2505.11792" TargetMode="External" /><Relationship Type="http://schemas.openxmlformats.org/officeDocument/2006/relationships/hyperlink" Id="rId30" Target="https://doi.org/10.48550/arXiv.2505.18553" TargetMode="External" /><Relationship Type="http://schemas.openxmlformats.org/officeDocument/2006/relationships/hyperlink" Id="rId39" Target="https://doi.org/10.48550/arXiv.2506.13068" TargetMode="External" /><Relationship Type="http://schemas.openxmlformats.org/officeDocument/2006/relationships/hyperlink" Id="rId22" Target="https://doi.org/10.48550/arXiv.2510.16802" TargetMode="External" /><Relationship Type="http://schemas.openxmlformats.org/officeDocument/2006/relationships/hyperlink" Id="rId13" Target="https://doi.org/10.48550/arXiv.2511.06119" TargetMode="External" /><Relationship Type="http://schemas.openxmlformats.org/officeDocument/2006/relationships/hyperlink" Id="rId66" Target="https://doi.org/10.55041/ijsrem47827" TargetMode="External" /><Relationship Type="http://schemas.openxmlformats.org/officeDocument/2006/relationships/hyperlink" Id="rId34" Target="https://doi.org/10.55041/isjem06236" TargetMode="External" /><Relationship Type="http://schemas.openxmlformats.org/officeDocument/2006/relationships/hyperlink" Id="rId42" Target="https://doi.org/10.63282/3050-922x.ijeret-v5i2p118" TargetMode="External" /><Relationship Type="http://schemas.openxmlformats.org/officeDocument/2006/relationships/hyperlink" Id="rId51" Target="https://doi.org/10.63282/3050-9246.ijetcsit-v5i3p117" TargetMode="External" /><Relationship Type="http://schemas.openxmlformats.org/officeDocument/2006/relationships/hyperlink" Id="rId10" Target="https://doi.org/10.63503/j.ijaimd.2025.110" TargetMode="External" /><Relationship Type="http://schemas.openxmlformats.org/officeDocument/2006/relationships/hyperlink" Id="rId12" Target="https://doi.org/10.65521/ijaece.v14i1.881" TargetMode="External" /><Relationship Type="http://schemas.openxmlformats.org/officeDocument/2006/relationships/hyperlink" Id="rId14" Target="https://doi.org/10.69888/ftsin.2025.000538" TargetMode="External" /><Relationship Type="http://schemas.openxmlformats.org/officeDocument/2006/relationships/hyperlink" Id="rId15" Target="https://doi.org/10.71143/jcbc8491" TargetMode="External" /><Relationship Type="http://schemas.openxmlformats.org/officeDocument/2006/relationships/hyperlink" Id="rId69" Target="https://doi.org/10.71437/rjems.v1i2.35" TargetMode="External" /><Relationship Type="http://schemas.openxmlformats.org/officeDocument/2006/relationships/hyperlink" Id="rId29" Target="https://doi.org/10.71465/ajainn473" TargetMode="External" /><Relationship Type="http://schemas.openxmlformats.org/officeDocument/2006/relationships/hyperlink" Id="rId53" Target="https://doi.org/10.9734/jerr/2025/v27i121745" TargetMode="External" /><Relationship Type="http://schemas.openxmlformats.org/officeDocument/2006/relationships/hyperlink" Id="rId50" Target="https://doi.org/10.9734/jerr/2025/v27i51520" TargetMode="External" /><Relationship Type="http://schemas.openxmlformats.org/officeDocument/2006/relationships/hyperlink" Id="rId61" Target="https://www.semanticscholar.org/paper/9c54e45e448e27d13124e1cbe3eba8303495de29" TargetMode="External" /><Relationship Type="http://schemas.openxmlformats.org/officeDocument/2006/relationships/hyperlink" Id="rId56" Target="https://www.semanticscholar.org/paper/cec9745d5c3c0418ba1fd2d368a9e40dbf305f8a"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2026-06-07T18:51:32Z</dcterms:created>
  <dcterms:modified xsi:type="dcterms:W3CDTF">2026-06-07T18:51:32Z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ibliography">
    <vt:lpwstr>/tmp/document-temp/references_b677bf29f08eee1e_1780858291.bib</vt:lpwstr>
  </property>
  <property fmtid="{D5CDD505-2E9C-101B-9397-08002B2CF9AE}" pid="3" name="csl">
    <vt:lpwstr>/tmp/document-temp/style_b677bf29f08eee1e_1780858291.csl</vt:lpwstr>
  </property>
  <property fmtid="{D5CDD505-2E9C-101B-9397-08002B2CF9AE}" pid="4" name="link-citations">
    <vt:lpwstr>True</vt:lpwstr>
  </property>
</Properties>
</file>